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05"/>
          <w:tab w:val="left" w:pos="5400"/>
          <w:tab w:val="left" w:pos="6660"/>
        </w:tabs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Hlk21960278"/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tabs>
          <w:tab w:val="left" w:pos="3305"/>
          <w:tab w:val="left" w:pos="5400"/>
          <w:tab w:val="left" w:pos="6660"/>
        </w:tabs>
        <w:spacing w:line="28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tabs>
          <w:tab w:val="left" w:pos="5400"/>
          <w:tab w:val="left" w:pos="6660"/>
        </w:tabs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绿色建筑验收材料清单</w:t>
      </w:r>
    </w:p>
    <w:p>
      <w:pPr>
        <w:jc w:val="center"/>
        <w:rPr>
          <w:rFonts w:eastAsia="等线 Light"/>
          <w:snapToGrid w:val="0"/>
          <w:spacing w:val="14"/>
          <w:kern w:val="0"/>
          <w:sz w:val="28"/>
          <w:szCs w:val="28"/>
        </w:rPr>
      </w:pPr>
    </w:p>
    <w:tbl>
      <w:tblPr>
        <w:tblStyle w:val="4"/>
        <w:tblW w:w="10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66"/>
        <w:gridCol w:w="1919"/>
        <w:gridCol w:w="2103"/>
        <w:gridCol w:w="1972"/>
        <w:gridCol w:w="718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46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文件、资料名称</w:t>
            </w:r>
          </w:p>
        </w:tc>
        <w:tc>
          <w:tcPr>
            <w:tcW w:w="2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资料情况</w:t>
            </w:r>
          </w:p>
        </w:tc>
        <w:tc>
          <w:tcPr>
            <w:tcW w:w="21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</w:rPr>
              <w:t>对应GB 50300的分部工程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0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规划资料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土壤氡检测报告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地基与基础工程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热岛强度测试报告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07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建筑资料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外窗产品型式检验报告、出厂检验报告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建筑装饰装修工程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暖通资料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冷热源机组的型式检验报告、出厂检验报告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通风与空调工程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冷热源机组、新风系统的进场验收/复验记录、分项工程和检验批的质量验收记录，检查记录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空调工程、建筑节能工程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widowControl/>
              <w:snapToGrid w:val="0"/>
              <w:rPr>
                <w:sz w:val="24"/>
              </w:rPr>
            </w:pPr>
            <w:r>
              <w:rPr>
                <w:sz w:val="24"/>
              </w:rPr>
              <w:t>可再生能源利用的运行记录或测试报告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建筑节能工程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widowControl/>
              <w:snapToGrid w:val="0"/>
              <w:rPr>
                <w:sz w:val="24"/>
              </w:rPr>
            </w:pPr>
            <w:r>
              <w:rPr>
                <w:sz w:val="24"/>
              </w:rPr>
              <w:t>室外风环境模拟分析报告及措施/现场测试报告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给排水资料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widowControl/>
              <w:snapToGrid w:val="0"/>
              <w:rPr>
                <w:sz w:val="24"/>
              </w:rPr>
            </w:pPr>
            <w:r>
              <w:rPr>
                <w:sz w:val="24"/>
              </w:rPr>
              <w:t>非传统水源利用方案，实际落实情况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非传统水源水质检验报告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给水与排水工程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给排水管网防漏损相关产品、节水器具的型式检验报告、出厂检验报告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给水与排水工程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widowControl/>
              <w:snapToGrid w:val="0"/>
              <w:rPr>
                <w:sz w:val="24"/>
              </w:rPr>
            </w:pPr>
            <w:r>
              <w:rPr>
                <w:sz w:val="24"/>
              </w:rPr>
              <w:t>给排水管网防漏损相关产品、节水器具的进场验收/复验记录、分项工程和检验批的质量验收记录，检查记录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给水与排水工程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widowControl/>
              <w:snapToGrid w:val="0"/>
              <w:rPr>
                <w:sz w:val="24"/>
              </w:rPr>
            </w:pPr>
            <w:r>
              <w:rPr>
                <w:sz w:val="24"/>
              </w:rPr>
              <w:t>绿化灌溉产品的型式检验报告、出厂检验报告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给水与排水工程、室外工程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07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结构建材资料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建筑工程造价决算表及土建工程决算书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建材/产品的型式检验报告、出厂检验报告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主体结构工程、装饰与装修工程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建材/产品的进场验收/复验记录、分项工程和检验批的质量验收记录，检查记录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主体结构工程、装饰与装修工程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土建与装修一体化设计施工证明材料或避免重复装修的证明材料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高性能混凝土、高强度钢的进场验收/复验记录、分项工程和检验批的质量验收记录，检查记录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主体结构工程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电气资料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照明产品的型式检验报告、出厂检验报告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建筑电气工程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照明产品的进场验收/复验记录、分项工程和检验批的质量验收记录，检查记录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建筑电气工程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7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室内空气污染物浓度检测报告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装饰与装修工程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室内背景噪声计算文件或现场检测报告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建筑构件隔声性能分析计算或检测报告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装饰与装修工程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运行后的环境噪声现场测试报告或现场措施落实情况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室内采光分析计算报告或现场检测报告</w:t>
            </w:r>
            <w:r>
              <w:rPr>
                <w:rFonts w:hint="eastAsia" w:ascii="等线" w:hAnsi="等线"/>
                <w:sz w:val="24"/>
              </w:rPr>
              <w:t>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□符合、□不符合、□无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建筑节能工程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验收单位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1919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建设单位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（盖章）：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项目负责人：</w:t>
            </w:r>
          </w:p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监理单位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（盖章）：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总监理工程师：</w:t>
            </w:r>
          </w:p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施工单位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（盖章）：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项目</w:t>
            </w:r>
            <w:r>
              <w:rPr>
                <w:rFonts w:hint="eastAsia"/>
                <w:kern w:val="0"/>
                <w:sz w:val="24"/>
              </w:rPr>
              <w:t>负责人</w:t>
            </w:r>
            <w:r>
              <w:rPr>
                <w:kern w:val="0"/>
                <w:sz w:val="24"/>
              </w:rPr>
              <w:t>：</w:t>
            </w:r>
          </w:p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设计单位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（盖章）：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项目负责人：</w:t>
            </w: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jc w:val="left"/>
        <w:rPr>
          <w:sz w:val="24"/>
        </w:rPr>
      </w:pPr>
      <w:r>
        <w:rPr>
          <w:rFonts w:hint="eastAsia" w:ascii="宋体" w:hAnsi="宋体"/>
          <w:b/>
          <w:position w:val="-2"/>
          <w:sz w:val="24"/>
        </w:rPr>
        <w:t>注</w:t>
      </w:r>
      <w:r>
        <w:rPr>
          <w:rFonts w:hint="eastAsia" w:ascii="宋体" w:hAnsi="宋体"/>
          <w:position w:val="-2"/>
          <w:sz w:val="24"/>
        </w:rPr>
        <w:t>：</w:t>
      </w: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本附件中“文件、资料名称”一栏中标★为施工质量相关内容。</w:t>
      </w:r>
    </w:p>
    <w:p>
      <w:pPr>
        <w:ind w:firstLine="48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“备注”一栏中标明本《</w:t>
      </w:r>
      <w:r>
        <w:rPr>
          <w:sz w:val="24"/>
        </w:rPr>
        <w:t>绿色建筑验收材料清单</w:t>
      </w:r>
      <w:r>
        <w:rPr>
          <w:rFonts w:hint="eastAsia"/>
          <w:sz w:val="24"/>
        </w:rPr>
        <w:t>》与《建筑工程施工质量验收统一标准》（GB 50300-2013）相对应的建筑工程的分部工程</w:t>
      </w:r>
      <w:bookmarkEnd w:id="0"/>
    </w:p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2625E"/>
    <w:multiLevelType w:val="multilevel"/>
    <w:tmpl w:val="5502625E"/>
    <w:lvl w:ilvl="0" w:tentative="0">
      <w:start w:val="1"/>
      <w:numFmt w:val="decimal"/>
      <w:lvlText w:val="%1"/>
      <w:lvlJc w:val="left"/>
      <w:pPr>
        <w:ind w:left="52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zI0NmI4M2U5YjE3YzNjOGMzY2FmOGNhM2VmNmEifQ=="/>
  </w:docVars>
  <w:rsids>
    <w:rsidRoot w:val="1E826CEA"/>
    <w:rsid w:val="1E826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2022-06-29T00:58:00Z</dcterms:created>
  <dc:creator>流年</dc:creator>
  <cp:lastModifiedBy>流年</cp:lastModifiedBy>
  <dcterms:modified xsi:type="dcterms:W3CDTF">2022-06-29T00:59:28Z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DC7EF3ECC9BF42CA9DFE2A165D8B0E07</vt:lpwstr>
  </property>
</Properties>
</file>