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jc w:val="both"/>
        <w:rPr>
          <w:rFonts w:hint="eastAsia" w:ascii="黑体" w:hAnsi="黑体" w:eastAsia="黑体" w:cs="黑体"/>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 xml:space="preserve"> </w:t>
      </w:r>
    </w:p>
    <w:p>
      <w:pPr>
        <w:adjustRightInd w:val="0"/>
        <w:snapToGrid w:val="0"/>
        <w:spacing w:line="560" w:lineRule="exact"/>
        <w:ind w:firstLine="0" w:firstLineChars="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附件1</w:t>
      </w:r>
    </w:p>
    <w:p>
      <w:pPr>
        <w:pStyle w:val="7"/>
        <w:snapToGrid w:val="0"/>
        <w:spacing w:line="560" w:lineRule="exact"/>
        <w:rPr>
          <w:rFonts w:hint="eastAsia"/>
          <w:color w:val="auto"/>
          <w:highlight w:val="none"/>
          <w:lang w:val="en-US" w:eastAsia="zh-CN"/>
        </w:rPr>
      </w:pPr>
    </w:p>
    <w:p>
      <w:pPr>
        <w:adjustRightInd w:val="0"/>
        <w:snapToGrid w:val="0"/>
        <w:spacing w:line="560" w:lineRule="exact"/>
        <w:ind w:firstLine="0" w:firstLineChars="0"/>
        <w:jc w:val="center"/>
        <w:rPr>
          <w:rFonts w:hint="default"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rPr>
        <w:t>深圳市绿色建筑</w:t>
      </w:r>
      <w:r>
        <w:rPr>
          <w:rFonts w:hint="eastAsia" w:ascii="宋体" w:hAnsi="宋体" w:cs="宋体"/>
          <w:b/>
          <w:bCs/>
          <w:color w:val="auto"/>
          <w:sz w:val="44"/>
          <w:szCs w:val="44"/>
          <w:highlight w:val="none"/>
          <w:lang w:val="en-US" w:eastAsia="zh-CN"/>
        </w:rPr>
        <w:t>高质量发展</w:t>
      </w:r>
      <w:r>
        <w:rPr>
          <w:rFonts w:hint="eastAsia" w:ascii="宋体" w:hAnsi="宋体" w:eastAsia="宋体" w:cs="宋体"/>
          <w:b/>
          <w:bCs/>
          <w:color w:val="auto"/>
          <w:sz w:val="44"/>
          <w:szCs w:val="44"/>
          <w:highlight w:val="none"/>
        </w:rPr>
        <w:t>行动</w:t>
      </w:r>
      <w:r>
        <w:rPr>
          <w:rFonts w:hint="eastAsia" w:ascii="宋体" w:hAnsi="宋体" w:cs="宋体"/>
          <w:b/>
          <w:bCs/>
          <w:color w:val="auto"/>
          <w:sz w:val="44"/>
          <w:szCs w:val="44"/>
          <w:highlight w:val="none"/>
          <w:lang w:val="en-US" w:eastAsia="zh-CN"/>
        </w:rPr>
        <w:t>实施方案</w:t>
      </w:r>
      <w:r>
        <w:rPr>
          <w:rFonts w:hint="eastAsia" w:ascii="宋体" w:hAnsi="宋体" w:eastAsia="宋体" w:cs="宋体"/>
          <w:b/>
          <w:bCs/>
          <w:color w:val="auto"/>
          <w:sz w:val="44"/>
          <w:szCs w:val="44"/>
          <w:highlight w:val="none"/>
        </w:rPr>
        <w:t>（2021</w:t>
      </w:r>
      <w:r>
        <w:rPr>
          <w:rFonts w:hint="eastAsia" w:ascii="宋体" w:hAnsi="宋体" w:cs="宋体"/>
          <w:b/>
          <w:bCs/>
          <w:color w:val="auto"/>
          <w:sz w:val="44"/>
          <w:szCs w:val="44"/>
          <w:highlight w:val="none"/>
          <w:lang w:val="en-US" w:eastAsia="zh-CN"/>
        </w:rPr>
        <w:t>-</w:t>
      </w:r>
      <w:r>
        <w:rPr>
          <w:rFonts w:hint="eastAsia" w:ascii="宋体" w:hAnsi="宋体" w:eastAsia="宋体" w:cs="宋体"/>
          <w:b/>
          <w:bCs/>
          <w:color w:val="auto"/>
          <w:sz w:val="44"/>
          <w:szCs w:val="44"/>
          <w:highlight w:val="none"/>
        </w:rPr>
        <w:t>2025年）</w:t>
      </w:r>
      <w:r>
        <w:rPr>
          <w:rFonts w:hint="eastAsia" w:ascii="宋体" w:hAnsi="宋体" w:cs="宋体"/>
          <w:b/>
          <w:bCs/>
          <w:color w:val="auto"/>
          <w:sz w:val="44"/>
          <w:szCs w:val="44"/>
          <w:highlight w:val="none"/>
          <w:lang w:eastAsia="zh-CN"/>
        </w:rPr>
        <w:t>（</w:t>
      </w:r>
      <w:bookmarkStart w:id="13" w:name="_GoBack"/>
      <w:bookmarkEnd w:id="13"/>
      <w:r>
        <w:rPr>
          <w:rFonts w:hint="eastAsia" w:ascii="宋体" w:hAnsi="宋体" w:cs="宋体"/>
          <w:b/>
          <w:bCs/>
          <w:color w:val="auto"/>
          <w:sz w:val="44"/>
          <w:szCs w:val="44"/>
          <w:highlight w:val="none"/>
          <w:lang w:val="en-US" w:eastAsia="zh-CN"/>
        </w:rPr>
        <w:t>征求意见稿）</w:t>
      </w:r>
    </w:p>
    <w:p>
      <w:pPr>
        <w:snapToGrid w:val="0"/>
        <w:spacing w:line="560" w:lineRule="exact"/>
        <w:ind w:firstLine="640" w:firstLineChars="200"/>
        <w:jc w:val="both"/>
        <w:rPr>
          <w:rFonts w:hint="eastAsia" w:ascii="仿宋_GB2312" w:hAnsi="仿宋_GB2312" w:eastAsia="仿宋_GB2312" w:cs="仿宋_GB2312"/>
          <w:color w:val="auto"/>
          <w:sz w:val="32"/>
          <w:szCs w:val="32"/>
          <w:highlight w:val="none"/>
        </w:rPr>
      </w:pPr>
    </w:p>
    <w:p>
      <w:pPr>
        <w:snapToGrid w:val="0"/>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为进一步</w:t>
      </w:r>
      <w:r>
        <w:rPr>
          <w:rFonts w:hint="eastAsia" w:ascii="仿宋_GB2312" w:hAnsi="仿宋_GB2312" w:eastAsia="仿宋_GB2312" w:cs="仿宋_GB2312"/>
          <w:color w:val="auto"/>
          <w:sz w:val="32"/>
          <w:szCs w:val="32"/>
          <w:highlight w:val="none"/>
        </w:rPr>
        <w:t>推动绿色建筑高质量发展，</w:t>
      </w:r>
      <w:r>
        <w:rPr>
          <w:rFonts w:hint="eastAsia" w:eastAsia="仿宋_GB2312"/>
          <w:color w:val="auto"/>
          <w:sz w:val="32"/>
          <w:szCs w:val="32"/>
        </w:rPr>
        <w:t>促进绿色低碳城市建设，打造可持续发展先锋</w:t>
      </w:r>
      <w:r>
        <w:rPr>
          <w:rFonts w:hint="eastAsia" w:eastAsia="仿宋_GB2312"/>
          <w:color w:val="auto"/>
          <w:sz w:val="32"/>
          <w:szCs w:val="32"/>
          <w:lang w:eastAsia="zh-CN"/>
        </w:rPr>
        <w:t>，</w:t>
      </w:r>
      <w:r>
        <w:rPr>
          <w:rFonts w:hint="eastAsia" w:ascii="仿宋_GB2312" w:hAnsi="仿宋_GB2312" w:eastAsia="仿宋_GB2312" w:cs="仿宋_GB2312"/>
          <w:kern w:val="21"/>
          <w:sz w:val="32"/>
          <w:szCs w:val="32"/>
          <w:lang w:val="en-US" w:eastAsia="zh-CN" w:bidi="ar-SA"/>
        </w:rPr>
        <w:t>根据</w:t>
      </w:r>
      <w:r>
        <w:rPr>
          <w:rFonts w:hint="eastAsia" w:ascii="仿宋_GB2312" w:hAnsi="仿宋_GB2312" w:eastAsia="仿宋_GB2312" w:cs="仿宋_GB2312"/>
          <w:color w:val="auto"/>
          <w:sz w:val="32"/>
          <w:szCs w:val="32"/>
          <w:highlight w:val="none"/>
        </w:rPr>
        <w:t>《中共中央办公厅 国务院办公厅关于推动城乡建设绿色发展的意见》</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绿色建筑创建行动方案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广东省绿色建筑创建行动实施方案（2021-2023）》《深圳市绿色建筑促进办法》等相关规定</w:t>
      </w:r>
      <w:r>
        <w:rPr>
          <w:rFonts w:hint="eastAsia" w:ascii="仿宋_GB2312" w:hAnsi="仿宋_GB2312" w:eastAsia="仿宋_GB2312" w:cs="仿宋_GB2312"/>
          <w:color w:val="auto"/>
          <w:sz w:val="32"/>
          <w:szCs w:val="32"/>
          <w:highlight w:val="none"/>
        </w:rPr>
        <w:t>，结合</w:t>
      </w:r>
      <w:r>
        <w:rPr>
          <w:rFonts w:hint="eastAsia" w:ascii="仿宋_GB2312" w:hAnsi="仿宋_GB2312" w:eastAsia="仿宋_GB2312" w:cs="仿宋_GB2312"/>
          <w:color w:val="auto"/>
          <w:sz w:val="32"/>
          <w:szCs w:val="32"/>
          <w:highlight w:val="none"/>
          <w:lang w:val="en-US" w:eastAsia="zh-CN"/>
        </w:rPr>
        <w:t>本市</w:t>
      </w:r>
      <w:r>
        <w:rPr>
          <w:rFonts w:hint="eastAsia" w:ascii="仿宋_GB2312" w:hAnsi="仿宋_GB2312" w:eastAsia="仿宋_GB2312" w:cs="仿宋_GB2312"/>
          <w:color w:val="auto"/>
          <w:sz w:val="32"/>
          <w:szCs w:val="32"/>
          <w:highlight w:val="none"/>
          <w:lang w:eastAsia="zh-CN"/>
        </w:rPr>
        <w:t>实际</w:t>
      </w:r>
      <w:r>
        <w:rPr>
          <w:rFonts w:hint="eastAsia" w:ascii="仿宋_GB2312" w:hAnsi="仿宋_GB2312" w:eastAsia="仿宋_GB2312" w:cs="仿宋_GB2312"/>
          <w:color w:val="auto"/>
          <w:sz w:val="32"/>
          <w:szCs w:val="32"/>
          <w:highlight w:val="none"/>
        </w:rPr>
        <w:t>，制定本实施方案。</w:t>
      </w:r>
    </w:p>
    <w:p>
      <w:pPr>
        <w:snapToGrid w:val="0"/>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val="en-US" w:eastAsia="zh-CN"/>
        </w:rPr>
        <w:t>指导思想</w:t>
      </w:r>
    </w:p>
    <w:p>
      <w:pPr>
        <w:snapToGrid w:val="0"/>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习近平新时代中国特色社会主义思想为指导，深入贯彻党的十九大和十九届二中、三中、四中、五中、六中全会精神，贯彻落实习近平总书记关于生态文明建设的系列重要讲话和重要指示批示精神，强化创新、协调、绿色、开放、共享发展理念，围绕建设粤港澳大湾区、中国特色社会主义先行示范区和综合改革试点的总任务，大力推动绿色建筑发展,积极应对气候变化，助力碳达峰目标和碳中和愿景实现，以人民为中心、坚持高质量发展，营造幸福和谐的人居环境，努力打造绿色、低碳、宜居之城。</w:t>
      </w:r>
    </w:p>
    <w:p>
      <w:pPr>
        <w:pStyle w:val="7"/>
        <w:snapToGrid w:val="0"/>
        <w:spacing w:line="560" w:lineRule="exact"/>
        <w:rPr>
          <w:rFonts w:hint="eastAsia" w:ascii="黑体" w:hAnsi="黑体" w:eastAsia="黑体" w:cs="黑体"/>
          <w:color w:val="auto"/>
          <w:highlight w:val="none"/>
          <w:lang w:val="en-US"/>
        </w:rPr>
      </w:pPr>
      <w:r>
        <w:rPr>
          <w:rFonts w:hint="eastAsia" w:ascii="黑体" w:hAnsi="黑体" w:eastAsia="黑体" w:cs="黑体"/>
          <w:color w:val="auto"/>
          <w:sz w:val="32"/>
          <w:szCs w:val="32"/>
          <w:highlight w:val="none"/>
          <w:lang w:val="en-US" w:eastAsia="zh-CN"/>
        </w:rPr>
        <w:t>二、基本原则</w:t>
      </w:r>
    </w:p>
    <w:p>
      <w:pPr>
        <w:snapToGrid w:val="0"/>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一是</w:t>
      </w:r>
      <w:r>
        <w:rPr>
          <w:rFonts w:hint="eastAsia" w:ascii="楷体_GB2312" w:hAnsi="楷体_GB2312" w:eastAsia="楷体_GB2312" w:cs="楷体_GB2312"/>
          <w:color w:val="auto"/>
          <w:sz w:val="32"/>
          <w:szCs w:val="32"/>
          <w:highlight w:val="none"/>
        </w:rPr>
        <w:t>坚持以人</w:t>
      </w:r>
      <w:r>
        <w:rPr>
          <w:rFonts w:hint="eastAsia" w:ascii="楷体_GB2312" w:hAnsi="楷体_GB2312" w:eastAsia="楷体_GB2312" w:cs="楷体_GB2312"/>
          <w:color w:val="auto"/>
          <w:sz w:val="32"/>
          <w:szCs w:val="32"/>
          <w:highlight w:val="none"/>
          <w:lang w:eastAsia="zh-CN"/>
        </w:rPr>
        <w:t>民为中心。</w:t>
      </w:r>
      <w:r>
        <w:rPr>
          <w:rFonts w:hint="eastAsia" w:ascii="仿宋_GB2312" w:hAnsi="仿宋_GB2312" w:eastAsia="仿宋_GB2312" w:cs="仿宋_GB2312"/>
          <w:color w:val="auto"/>
          <w:sz w:val="32"/>
          <w:szCs w:val="32"/>
          <w:highlight w:val="none"/>
        </w:rPr>
        <w:t>绿色建筑</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color w:val="auto"/>
          <w:sz w:val="32"/>
          <w:szCs w:val="32"/>
          <w:highlight w:val="none"/>
        </w:rPr>
        <w:t>满足人民群众对美好生活需要的重要</w:t>
      </w:r>
      <w:r>
        <w:rPr>
          <w:rFonts w:hint="eastAsia" w:ascii="仿宋_GB2312" w:hAnsi="仿宋_GB2312" w:eastAsia="仿宋_GB2312" w:cs="仿宋_GB2312"/>
          <w:color w:val="auto"/>
          <w:sz w:val="32"/>
          <w:szCs w:val="32"/>
          <w:highlight w:val="none"/>
          <w:lang w:val="en-US" w:eastAsia="zh-CN"/>
        </w:rPr>
        <w:t>载体</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努力</w:t>
      </w:r>
      <w:r>
        <w:rPr>
          <w:rFonts w:hint="eastAsia" w:ascii="仿宋_GB2312" w:hAnsi="仿宋_GB2312" w:eastAsia="仿宋_GB2312" w:cs="仿宋_GB2312"/>
          <w:color w:val="auto"/>
          <w:sz w:val="32"/>
          <w:szCs w:val="32"/>
          <w:highlight w:val="none"/>
        </w:rPr>
        <w:t>为人民群众提供</w:t>
      </w:r>
      <w:r>
        <w:rPr>
          <w:rFonts w:hint="eastAsia" w:ascii="仿宋_GB2312" w:hAnsi="仿宋_GB2312" w:eastAsia="仿宋_GB2312" w:cs="仿宋_GB2312"/>
          <w:color w:val="auto"/>
          <w:sz w:val="32"/>
          <w:szCs w:val="32"/>
          <w:highlight w:val="none"/>
          <w:lang w:val="en-US" w:eastAsia="zh-CN"/>
        </w:rPr>
        <w:t>安全耐久、健康舒适、生活便利、资源节约、环境宜居的</w:t>
      </w:r>
      <w:r>
        <w:rPr>
          <w:rFonts w:hint="eastAsia" w:ascii="仿宋_GB2312" w:hAnsi="仿宋_GB2312" w:eastAsia="仿宋_GB2312" w:cs="仿宋_GB2312"/>
          <w:color w:val="auto"/>
          <w:sz w:val="32"/>
          <w:szCs w:val="32"/>
          <w:highlight w:val="none"/>
        </w:rPr>
        <w:t>高性能绿色建筑产品，提高居民的体验感和获得感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逐步形成全民共建</w:t>
      </w:r>
      <w:r>
        <w:rPr>
          <w:rFonts w:hint="eastAsia" w:ascii="仿宋_GB2312" w:hAnsi="仿宋_GB2312" w:eastAsia="仿宋_GB2312" w:cs="仿宋_GB2312"/>
          <w:color w:val="auto"/>
          <w:sz w:val="32"/>
          <w:szCs w:val="32"/>
          <w:highlight w:val="none"/>
          <w:lang w:val="en-US" w:eastAsia="zh-CN"/>
        </w:rPr>
        <w:t>共享</w:t>
      </w:r>
      <w:r>
        <w:rPr>
          <w:rFonts w:hint="eastAsia" w:ascii="仿宋_GB2312" w:hAnsi="仿宋_GB2312" w:eastAsia="仿宋_GB2312" w:cs="仿宋_GB2312"/>
          <w:color w:val="auto"/>
          <w:sz w:val="32"/>
          <w:szCs w:val="32"/>
          <w:highlight w:val="none"/>
        </w:rPr>
        <w:t>的良性社会环境。</w:t>
      </w:r>
    </w:p>
    <w:p>
      <w:pPr>
        <w:snapToGrid w:val="0"/>
        <w:spacing w:line="560" w:lineRule="exact"/>
        <w:ind w:firstLine="640" w:firstLineChars="200"/>
        <w:jc w:val="both"/>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二是坚持高质量发展</w:t>
      </w:r>
      <w:r>
        <w:rPr>
          <w:rFonts w:hint="eastAsia" w:ascii="楷体_GB2312" w:hAnsi="楷体_GB2312" w:eastAsia="楷体_GB2312" w:cs="楷体_GB2312"/>
          <w:color w:val="auto"/>
          <w:sz w:val="32"/>
          <w:szCs w:val="32"/>
          <w:highlight w:val="none"/>
          <w:lang w:eastAsia="zh-CN"/>
        </w:rPr>
        <w:t>。</w:t>
      </w:r>
      <w:r>
        <w:rPr>
          <w:rFonts w:hint="eastAsia" w:ascii="仿宋_GB2312" w:hAnsi="仿宋_GB2312" w:eastAsia="仿宋_GB2312" w:cs="仿宋_GB2312"/>
          <w:color w:val="auto"/>
          <w:kern w:val="21"/>
          <w:sz w:val="32"/>
          <w:szCs w:val="32"/>
          <w:highlight w:val="none"/>
          <w:lang w:val="en-US" w:eastAsia="zh-CN" w:bidi="ar-SA"/>
        </w:rPr>
        <w:t>进一步丰富绿色建筑内涵，促</w:t>
      </w:r>
      <w:r>
        <w:rPr>
          <w:rFonts w:hint="eastAsia" w:ascii="仿宋_GB2312" w:hAnsi="仿宋_GB2312" w:eastAsia="仿宋_GB2312" w:cs="仿宋_GB2312"/>
          <w:color w:val="auto"/>
          <w:sz w:val="32"/>
          <w:szCs w:val="32"/>
          <w:highlight w:val="none"/>
          <w:lang w:val="en-US" w:eastAsia="zh-CN"/>
        </w:rPr>
        <w:t>进</w:t>
      </w:r>
      <w:r>
        <w:rPr>
          <w:rFonts w:hint="eastAsia" w:ascii="仿宋_GB2312" w:hAnsi="仿宋_GB2312" w:eastAsia="仿宋_GB2312" w:cs="仿宋_GB2312"/>
          <w:color w:val="auto"/>
          <w:kern w:val="21"/>
          <w:sz w:val="32"/>
          <w:szCs w:val="32"/>
          <w:highlight w:val="none"/>
          <w:lang w:val="en-US" w:eastAsia="zh-CN" w:bidi="ar-SA"/>
        </w:rPr>
        <w:t>绿色建筑与新型建筑工业化、建筑信息模型（BIM）技术、智能化建造及智慧建筑技术等融合发展，打造高品质绿色建筑项目，推动城市建设高质量发展。</w:t>
      </w:r>
    </w:p>
    <w:p>
      <w:pPr>
        <w:snapToGrid w:val="0"/>
        <w:spacing w:line="560" w:lineRule="exact"/>
        <w:ind w:firstLine="640" w:firstLineChars="200"/>
        <w:rPr>
          <w:rFonts w:hint="default" w:ascii="仿宋_GB2312" w:hAnsi="仿宋_GB2312" w:eastAsia="仿宋_GB2312" w:cs="仿宋_GB2312"/>
          <w:color w:val="auto"/>
          <w:kern w:val="21"/>
          <w:sz w:val="32"/>
          <w:szCs w:val="32"/>
          <w:highlight w:val="none"/>
          <w:lang w:val="en-US" w:eastAsia="zh-CN" w:bidi="ar-SA"/>
        </w:rPr>
      </w:pPr>
      <w:r>
        <w:rPr>
          <w:rFonts w:hint="eastAsia" w:ascii="楷体_GB2312" w:hAnsi="楷体_GB2312" w:eastAsia="楷体_GB2312" w:cs="楷体_GB2312"/>
          <w:b w:val="0"/>
          <w:bCs w:val="0"/>
          <w:color w:val="auto"/>
          <w:sz w:val="32"/>
          <w:szCs w:val="32"/>
          <w:highlight w:val="none"/>
          <w:lang w:val="en-US" w:eastAsia="zh-CN"/>
        </w:rPr>
        <w:t>三是</w:t>
      </w:r>
      <w:r>
        <w:rPr>
          <w:rFonts w:hint="default" w:ascii="楷体_GB2312" w:hAnsi="楷体_GB2312" w:eastAsia="楷体_GB2312" w:cs="楷体_GB2312"/>
          <w:b w:val="0"/>
          <w:bCs w:val="0"/>
          <w:color w:val="auto"/>
          <w:sz w:val="32"/>
          <w:szCs w:val="32"/>
          <w:highlight w:val="none"/>
          <w:lang w:val="en-US" w:eastAsia="zh-CN"/>
        </w:rPr>
        <w:t>坚持低碳发展</w:t>
      </w:r>
      <w:r>
        <w:rPr>
          <w:rFonts w:hint="eastAsia" w:ascii="楷体_GB2312" w:hAnsi="楷体_GB2312" w:eastAsia="楷体_GB2312" w:cs="楷体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聚焦碳达峰及碳中和、能源生产与消费革命等国家重大战略，在建筑全寿命期贯彻低碳发展理念，规模应用低碳技术和产品，加强建筑全过程节能和碳排放管理，严控建筑领域能源资源消费总量和强度。</w:t>
      </w:r>
    </w:p>
    <w:p>
      <w:pPr>
        <w:snapToGrid w:val="0"/>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发展</w:t>
      </w:r>
      <w:r>
        <w:rPr>
          <w:rFonts w:hint="eastAsia" w:ascii="黑体" w:hAnsi="黑体" w:eastAsia="黑体" w:cs="黑体"/>
          <w:color w:val="auto"/>
          <w:sz w:val="32"/>
          <w:szCs w:val="32"/>
          <w:highlight w:val="none"/>
        </w:rPr>
        <w:t>目标</w:t>
      </w:r>
    </w:p>
    <w:p>
      <w:pPr>
        <w:snapToGrid w:val="0"/>
        <w:spacing w:line="560" w:lineRule="exact"/>
        <w:ind w:firstLine="640" w:firstLineChars="200"/>
        <w:jc w:val="both"/>
        <w:rPr>
          <w:rFonts w:hint="eastAsia" w:ascii="仿宋_GB2312" w:hAnsi="仿宋_GB2312" w:eastAsia="仿宋_GB2312" w:cs="仿宋_GB2312"/>
          <w:color w:val="auto"/>
          <w:sz w:val="32"/>
          <w:szCs w:val="32"/>
          <w:highlight w:val="none"/>
        </w:rPr>
      </w:pPr>
      <w:bookmarkStart w:id="0" w:name="_Hlk36319319"/>
      <w:r>
        <w:rPr>
          <w:rFonts w:hint="eastAsia" w:ascii="仿宋_GB2312" w:hAnsi="仿宋_GB2312" w:eastAsia="仿宋_GB2312" w:cs="仿宋_GB2312"/>
          <w:color w:val="auto"/>
          <w:sz w:val="32"/>
          <w:szCs w:val="32"/>
          <w:highlight w:val="none"/>
        </w:rPr>
        <w:t>到2025年，</w:t>
      </w:r>
      <w:r>
        <w:rPr>
          <w:rFonts w:hint="eastAsia" w:ascii="仿宋_GB2312" w:hAnsi="仿宋_GB2312" w:eastAsia="仿宋_GB2312" w:cs="仿宋_GB2312"/>
          <w:color w:val="auto"/>
          <w:sz w:val="32"/>
          <w:szCs w:val="32"/>
          <w:highlight w:val="none"/>
          <w:lang w:val="en-US" w:eastAsia="zh-CN"/>
        </w:rPr>
        <w:t>绿色建筑发展质量、建筑能效水平明显提高，建筑能耗和碳排放增长趋势有效控制，</w:t>
      </w:r>
      <w:r>
        <w:rPr>
          <w:rFonts w:hint="eastAsia" w:ascii="仿宋_GB2312" w:hAnsi="仿宋_GB2312" w:eastAsia="仿宋_GB2312" w:cs="仿宋_GB2312"/>
          <w:color w:val="auto"/>
          <w:sz w:val="32"/>
          <w:szCs w:val="32"/>
          <w:highlight w:val="none"/>
        </w:rPr>
        <w:t>高星级绿色建筑占比和装配化建造方式占比进一步提升，绿色建材</w:t>
      </w:r>
      <w:r>
        <w:rPr>
          <w:rFonts w:hint="eastAsia" w:ascii="仿宋_GB2312" w:hAnsi="仿宋_GB2312" w:eastAsia="仿宋_GB2312" w:cs="仿宋_GB2312"/>
          <w:color w:val="auto"/>
          <w:sz w:val="32"/>
          <w:szCs w:val="32"/>
          <w:highlight w:val="none"/>
          <w:lang w:val="en-US" w:eastAsia="zh-CN"/>
        </w:rPr>
        <w:t>和可再生能源应用</w:t>
      </w:r>
      <w:r>
        <w:rPr>
          <w:rFonts w:hint="eastAsia" w:ascii="仿宋_GB2312" w:hAnsi="仿宋_GB2312" w:eastAsia="仿宋_GB2312" w:cs="仿宋_GB2312"/>
          <w:color w:val="auto"/>
          <w:sz w:val="32"/>
          <w:szCs w:val="32"/>
          <w:highlight w:val="none"/>
        </w:rPr>
        <w:t>大面积推广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既有建筑节能和绿色化改造工作稳步推进</w:t>
      </w:r>
      <w:r>
        <w:rPr>
          <w:rFonts w:hint="eastAsia" w:ascii="仿宋_GB2312" w:hAnsi="仿宋_GB2312" w:eastAsia="仿宋_GB2312" w:cs="仿宋_GB2312"/>
          <w:color w:val="auto"/>
          <w:sz w:val="32"/>
          <w:szCs w:val="32"/>
          <w:highlight w:val="none"/>
        </w:rPr>
        <w:t>，绿色金融</w:t>
      </w:r>
      <w:r>
        <w:rPr>
          <w:rFonts w:hint="eastAsia" w:ascii="仿宋_GB2312" w:hAnsi="仿宋_GB2312" w:eastAsia="仿宋_GB2312" w:cs="仿宋_GB2312"/>
          <w:color w:val="auto"/>
          <w:sz w:val="32"/>
          <w:szCs w:val="32"/>
          <w:highlight w:val="none"/>
          <w:lang w:val="en-US" w:eastAsia="zh-CN"/>
        </w:rPr>
        <w:t>支撑体系已经</w:t>
      </w:r>
      <w:r>
        <w:rPr>
          <w:rFonts w:hint="eastAsia" w:ascii="仿宋_GB2312" w:hAnsi="仿宋_GB2312" w:eastAsia="仿宋_GB2312" w:cs="仿宋_GB2312"/>
          <w:color w:val="auto"/>
          <w:sz w:val="32"/>
          <w:szCs w:val="32"/>
          <w:highlight w:val="none"/>
        </w:rPr>
        <w:t>形成，绿色住宅使用者监督机制</w:t>
      </w:r>
      <w:r>
        <w:rPr>
          <w:rFonts w:hint="eastAsia" w:ascii="仿宋_GB2312" w:hAnsi="仿宋_GB2312" w:eastAsia="仿宋_GB2312" w:cs="仿宋_GB2312"/>
          <w:color w:val="auto"/>
          <w:sz w:val="32"/>
          <w:szCs w:val="32"/>
          <w:highlight w:val="none"/>
          <w:lang w:val="en-US" w:eastAsia="zh-CN"/>
        </w:rPr>
        <w:t>全面推广</w:t>
      </w:r>
      <w:r>
        <w:rPr>
          <w:rFonts w:hint="eastAsia" w:ascii="仿宋_GB2312" w:hAnsi="仿宋_GB2312" w:eastAsia="仿宋_GB2312" w:cs="仿宋_GB2312"/>
          <w:color w:val="auto"/>
          <w:sz w:val="32"/>
          <w:szCs w:val="32"/>
          <w:highlight w:val="none"/>
        </w:rPr>
        <w:t>，</w:t>
      </w:r>
      <w:bookmarkEnd w:id="0"/>
      <w:r>
        <w:rPr>
          <w:rFonts w:hint="eastAsia" w:ascii="仿宋_GB2312" w:hAnsi="仿宋_GB2312" w:eastAsia="仿宋_GB2312" w:cs="仿宋_GB2312"/>
          <w:color w:val="auto"/>
          <w:sz w:val="32"/>
          <w:szCs w:val="32"/>
          <w:highlight w:val="none"/>
          <w:lang w:val="en-US" w:eastAsia="zh-CN"/>
        </w:rPr>
        <w:t>人民群众生产生活空间更加优质</w:t>
      </w:r>
      <w:r>
        <w:rPr>
          <w:rFonts w:hint="eastAsia" w:ascii="仿宋_GB2312" w:hAnsi="仿宋_GB2312" w:eastAsia="仿宋_GB2312" w:cs="仿宋_GB2312"/>
          <w:color w:val="auto"/>
          <w:sz w:val="32"/>
          <w:szCs w:val="32"/>
          <w:highlight w:val="none"/>
        </w:rPr>
        <w:t>。推动绿色城市建设，在美丽湾区建设中走在前列。</w:t>
      </w:r>
    </w:p>
    <w:p>
      <w:pPr>
        <w:spacing w:line="240" w:lineRule="auto"/>
        <w:ind w:firstLine="0" w:firstLineChars="0"/>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表1</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绿色建筑</w:t>
      </w:r>
      <w:r>
        <w:rPr>
          <w:rFonts w:hint="eastAsia" w:ascii="仿宋" w:hAnsi="仿宋" w:eastAsia="仿宋"/>
          <w:b/>
          <w:color w:val="auto"/>
          <w:sz w:val="28"/>
          <w:szCs w:val="28"/>
          <w:highlight w:val="none"/>
          <w:lang w:val="en-US" w:eastAsia="zh-CN"/>
        </w:rPr>
        <w:t>高质量发展</w:t>
      </w:r>
      <w:r>
        <w:rPr>
          <w:rFonts w:hint="eastAsia" w:ascii="仿宋" w:hAnsi="仿宋" w:eastAsia="仿宋"/>
          <w:b/>
          <w:color w:val="auto"/>
          <w:sz w:val="28"/>
          <w:szCs w:val="28"/>
          <w:highlight w:val="none"/>
        </w:rPr>
        <w:t>行动主要指标表</w:t>
      </w:r>
    </w:p>
    <w:tbl>
      <w:tblPr>
        <w:tblStyle w:val="15"/>
        <w:tblW w:w="7645" w:type="dxa"/>
        <w:jc w:val="center"/>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4"/>
        <w:gridCol w:w="1724"/>
        <w:gridCol w:w="1717"/>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3204" w:type="dxa"/>
            <w:vAlign w:val="center"/>
          </w:tcPr>
          <w:p>
            <w:pPr>
              <w:spacing w:line="240" w:lineRule="auto"/>
              <w:ind w:firstLine="0" w:firstLineChars="0"/>
              <w:jc w:val="center"/>
              <w:rPr>
                <w:rFonts w:ascii="仿宋" w:hAnsi="仿宋" w:eastAsia="仿宋"/>
                <w:color w:val="auto"/>
                <w:szCs w:val="24"/>
                <w:highlight w:val="none"/>
              </w:rPr>
            </w:pPr>
            <w:r>
              <w:rPr>
                <w:rFonts w:hint="eastAsia" w:ascii="仿宋" w:hAnsi="仿宋" w:eastAsia="仿宋"/>
                <w:color w:val="auto"/>
                <w:szCs w:val="24"/>
                <w:highlight w:val="none"/>
              </w:rPr>
              <w:t>主要指标项</w:t>
            </w:r>
          </w:p>
        </w:tc>
        <w:tc>
          <w:tcPr>
            <w:tcW w:w="1724" w:type="dxa"/>
            <w:vAlign w:val="center"/>
          </w:tcPr>
          <w:p>
            <w:pPr>
              <w:spacing w:line="240" w:lineRule="auto"/>
              <w:ind w:firstLine="0" w:firstLineChars="0"/>
              <w:jc w:val="center"/>
              <w:rPr>
                <w:rFonts w:hint="eastAsia" w:ascii="仿宋" w:hAnsi="仿宋" w:eastAsia="仿宋"/>
                <w:color w:val="auto"/>
                <w:szCs w:val="24"/>
                <w:highlight w:val="none"/>
              </w:rPr>
            </w:pPr>
            <w:r>
              <w:rPr>
                <w:rFonts w:hint="eastAsia" w:ascii="仿宋" w:hAnsi="仿宋" w:eastAsia="仿宋"/>
                <w:color w:val="auto"/>
                <w:szCs w:val="24"/>
                <w:highlight w:val="none"/>
              </w:rPr>
              <w:t>2</w:t>
            </w:r>
            <w:r>
              <w:rPr>
                <w:rFonts w:ascii="仿宋" w:hAnsi="仿宋" w:eastAsia="仿宋"/>
                <w:color w:val="auto"/>
                <w:szCs w:val="24"/>
                <w:highlight w:val="none"/>
              </w:rPr>
              <w:t>02</w:t>
            </w:r>
            <w:r>
              <w:rPr>
                <w:rFonts w:hint="eastAsia" w:ascii="仿宋" w:hAnsi="仿宋" w:eastAsia="仿宋"/>
                <w:color w:val="auto"/>
                <w:szCs w:val="24"/>
                <w:highlight w:val="none"/>
                <w:lang w:val="en-US" w:eastAsia="zh-CN"/>
              </w:rPr>
              <w:t>3</w:t>
            </w:r>
            <w:r>
              <w:rPr>
                <w:rFonts w:hint="eastAsia" w:ascii="仿宋" w:hAnsi="仿宋" w:eastAsia="仿宋"/>
                <w:color w:val="auto"/>
                <w:szCs w:val="24"/>
                <w:highlight w:val="none"/>
              </w:rPr>
              <w:t>年目标</w:t>
            </w:r>
            <w:r>
              <w:rPr>
                <w:rFonts w:hint="eastAsia" w:ascii="仿宋" w:hAnsi="仿宋" w:eastAsia="仿宋"/>
                <w:color w:val="auto"/>
                <w:szCs w:val="24"/>
                <w:highlight w:val="none"/>
                <w:lang w:val="en-US" w:eastAsia="zh-CN"/>
              </w:rPr>
              <w:t>值</w:t>
            </w:r>
          </w:p>
        </w:tc>
        <w:tc>
          <w:tcPr>
            <w:tcW w:w="1717" w:type="dxa"/>
            <w:vAlign w:val="center"/>
          </w:tcPr>
          <w:p>
            <w:pPr>
              <w:spacing w:line="240" w:lineRule="auto"/>
              <w:ind w:firstLine="0" w:firstLineChars="0"/>
              <w:jc w:val="center"/>
              <w:rPr>
                <w:rFonts w:hint="eastAsia" w:ascii="仿宋" w:hAnsi="仿宋" w:eastAsia="仿宋"/>
                <w:color w:val="auto"/>
                <w:szCs w:val="24"/>
                <w:highlight w:val="none"/>
                <w:lang w:val="en-US" w:eastAsia="zh-CN"/>
              </w:rPr>
            </w:pPr>
            <w:r>
              <w:rPr>
                <w:rFonts w:hint="eastAsia" w:ascii="仿宋" w:hAnsi="仿宋" w:eastAsia="仿宋"/>
                <w:color w:val="auto"/>
                <w:szCs w:val="24"/>
                <w:highlight w:val="none"/>
              </w:rPr>
              <w:t>2</w:t>
            </w:r>
            <w:r>
              <w:rPr>
                <w:rFonts w:ascii="仿宋" w:hAnsi="仿宋" w:eastAsia="仿宋"/>
                <w:color w:val="auto"/>
                <w:szCs w:val="24"/>
                <w:highlight w:val="none"/>
              </w:rPr>
              <w:t>025</w:t>
            </w:r>
            <w:r>
              <w:rPr>
                <w:rFonts w:hint="eastAsia" w:ascii="仿宋" w:hAnsi="仿宋" w:eastAsia="仿宋"/>
                <w:color w:val="auto"/>
                <w:szCs w:val="24"/>
                <w:highlight w:val="none"/>
              </w:rPr>
              <w:t>年目标</w:t>
            </w:r>
            <w:r>
              <w:rPr>
                <w:rFonts w:hint="eastAsia" w:ascii="仿宋" w:hAnsi="仿宋" w:eastAsia="仿宋"/>
                <w:color w:val="auto"/>
                <w:szCs w:val="24"/>
                <w:highlight w:val="none"/>
                <w:lang w:val="en-US" w:eastAsia="zh-CN"/>
              </w:rPr>
              <w:t>值</w:t>
            </w:r>
          </w:p>
        </w:tc>
        <w:tc>
          <w:tcPr>
            <w:tcW w:w="1000" w:type="dxa"/>
            <w:vAlign w:val="center"/>
          </w:tcPr>
          <w:p>
            <w:pPr>
              <w:spacing w:line="240" w:lineRule="auto"/>
              <w:ind w:firstLine="0" w:firstLineChars="0"/>
              <w:jc w:val="center"/>
              <w:rPr>
                <w:rFonts w:hint="eastAsia" w:ascii="仿宋" w:hAnsi="仿宋" w:eastAsia="仿宋"/>
                <w:color w:val="auto"/>
                <w:szCs w:val="24"/>
                <w:highlight w:val="none"/>
              </w:rPr>
            </w:pPr>
            <w:r>
              <w:rPr>
                <w:rFonts w:hint="eastAsia" w:ascii="仿宋" w:hAnsi="仿宋" w:eastAsia="仿宋"/>
                <w:color w:val="auto"/>
                <w:szCs w:val="24"/>
                <w:highlight w:val="none"/>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4" w:type="dxa"/>
            <w:vAlign w:val="top"/>
          </w:tcPr>
          <w:p>
            <w:pPr>
              <w:spacing w:line="240" w:lineRule="auto"/>
              <w:ind w:firstLine="0" w:firstLineChars="0"/>
              <w:jc w:val="center"/>
              <w:rPr>
                <w:rFonts w:ascii="仿宋" w:hAnsi="仿宋" w:eastAsia="仿宋"/>
                <w:color w:val="auto"/>
                <w:szCs w:val="24"/>
                <w:highlight w:val="none"/>
              </w:rPr>
            </w:pPr>
            <w:r>
              <w:rPr>
                <w:rFonts w:hint="eastAsia" w:ascii="仿宋" w:hAnsi="仿宋" w:eastAsia="仿宋"/>
                <w:color w:val="auto"/>
                <w:szCs w:val="24"/>
                <w:highlight w:val="none"/>
              </w:rPr>
              <w:t>新建</w:t>
            </w:r>
            <w:r>
              <w:rPr>
                <w:rFonts w:hint="eastAsia" w:ascii="仿宋" w:hAnsi="仿宋" w:eastAsia="仿宋"/>
                <w:color w:val="auto"/>
                <w:szCs w:val="24"/>
                <w:highlight w:val="none"/>
                <w:lang w:val="en-US" w:eastAsia="zh-CN"/>
              </w:rPr>
              <w:t>民用</w:t>
            </w:r>
            <w:r>
              <w:rPr>
                <w:rFonts w:hint="eastAsia" w:ascii="仿宋" w:hAnsi="仿宋" w:eastAsia="仿宋"/>
                <w:color w:val="auto"/>
                <w:szCs w:val="24"/>
                <w:highlight w:val="none"/>
              </w:rPr>
              <w:t>建筑执行绿色建筑标准比例</w:t>
            </w:r>
          </w:p>
        </w:tc>
        <w:tc>
          <w:tcPr>
            <w:tcW w:w="1724" w:type="dxa"/>
            <w:vAlign w:val="top"/>
          </w:tcPr>
          <w:p>
            <w:pPr>
              <w:spacing w:line="240" w:lineRule="auto"/>
              <w:ind w:firstLine="0" w:firstLineChars="0"/>
              <w:jc w:val="center"/>
              <w:rPr>
                <w:rFonts w:hint="eastAsia" w:ascii="仿宋" w:hAnsi="仿宋" w:eastAsia="仿宋"/>
                <w:color w:val="auto"/>
                <w:szCs w:val="24"/>
                <w:highlight w:val="none"/>
              </w:rPr>
            </w:pPr>
            <w:r>
              <w:rPr>
                <w:rFonts w:hint="eastAsia" w:ascii="仿宋" w:hAnsi="仿宋" w:eastAsia="仿宋"/>
                <w:color w:val="auto"/>
                <w:szCs w:val="24"/>
                <w:highlight w:val="none"/>
              </w:rPr>
              <w:t>1</w:t>
            </w:r>
            <w:r>
              <w:rPr>
                <w:rFonts w:ascii="仿宋" w:hAnsi="仿宋" w:eastAsia="仿宋"/>
                <w:color w:val="auto"/>
                <w:szCs w:val="24"/>
                <w:highlight w:val="none"/>
              </w:rPr>
              <w:t>00%</w:t>
            </w:r>
          </w:p>
        </w:tc>
        <w:tc>
          <w:tcPr>
            <w:tcW w:w="1717" w:type="dxa"/>
            <w:vAlign w:val="top"/>
          </w:tcPr>
          <w:p>
            <w:pPr>
              <w:spacing w:line="240" w:lineRule="auto"/>
              <w:ind w:firstLine="0" w:firstLineChars="0"/>
              <w:jc w:val="center"/>
              <w:rPr>
                <w:rFonts w:ascii="仿宋" w:hAnsi="仿宋" w:eastAsia="仿宋"/>
                <w:color w:val="auto"/>
                <w:szCs w:val="24"/>
                <w:highlight w:val="none"/>
              </w:rPr>
            </w:pPr>
            <w:r>
              <w:rPr>
                <w:rFonts w:hint="eastAsia" w:ascii="仿宋" w:hAnsi="仿宋" w:eastAsia="仿宋"/>
                <w:color w:val="auto"/>
                <w:szCs w:val="24"/>
                <w:highlight w:val="none"/>
              </w:rPr>
              <w:t>1</w:t>
            </w:r>
            <w:r>
              <w:rPr>
                <w:rFonts w:ascii="仿宋" w:hAnsi="仿宋" w:eastAsia="仿宋"/>
                <w:color w:val="auto"/>
                <w:szCs w:val="24"/>
                <w:highlight w:val="none"/>
              </w:rPr>
              <w:t>00%</w:t>
            </w:r>
          </w:p>
        </w:tc>
        <w:tc>
          <w:tcPr>
            <w:tcW w:w="1000" w:type="dxa"/>
            <w:vAlign w:val="top"/>
          </w:tcPr>
          <w:p>
            <w:pPr>
              <w:spacing w:line="240" w:lineRule="auto"/>
              <w:ind w:firstLine="0" w:firstLineChars="0"/>
              <w:jc w:val="center"/>
              <w:rPr>
                <w:rFonts w:hint="eastAsia" w:ascii="仿宋" w:hAnsi="仿宋" w:eastAsia="仿宋"/>
                <w:color w:val="auto"/>
                <w:szCs w:val="24"/>
                <w:highlight w:val="none"/>
              </w:rPr>
            </w:pPr>
            <w:r>
              <w:rPr>
                <w:rFonts w:hint="eastAsia" w:ascii="仿宋" w:hAnsi="仿宋" w:eastAsia="仿宋"/>
                <w:color w:val="auto"/>
                <w:szCs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4" w:type="dxa"/>
            <w:vAlign w:val="top"/>
          </w:tcPr>
          <w:p>
            <w:pPr>
              <w:spacing w:line="240" w:lineRule="auto"/>
              <w:ind w:firstLine="0" w:firstLineChars="0"/>
              <w:jc w:val="center"/>
              <w:rPr>
                <w:rFonts w:hint="eastAsia" w:ascii="仿宋" w:hAnsi="仿宋" w:eastAsia="仿宋"/>
                <w:color w:val="auto"/>
                <w:szCs w:val="24"/>
                <w:highlight w:val="none"/>
              </w:rPr>
            </w:pPr>
            <w:r>
              <w:rPr>
                <w:rFonts w:hint="eastAsia" w:ascii="仿宋" w:hAnsi="仿宋" w:eastAsia="仿宋"/>
                <w:color w:val="auto"/>
                <w:szCs w:val="24"/>
                <w:highlight w:val="none"/>
              </w:rPr>
              <w:t>新建</w:t>
            </w:r>
            <w:r>
              <w:rPr>
                <w:rFonts w:hint="eastAsia" w:ascii="仿宋" w:hAnsi="仿宋" w:eastAsia="仿宋"/>
                <w:color w:val="auto"/>
                <w:szCs w:val="24"/>
                <w:highlight w:val="none"/>
                <w:lang w:val="en-US" w:eastAsia="zh-CN"/>
              </w:rPr>
              <w:t>工业</w:t>
            </w:r>
            <w:r>
              <w:rPr>
                <w:rFonts w:hint="eastAsia" w:ascii="仿宋" w:hAnsi="仿宋" w:eastAsia="仿宋"/>
                <w:color w:val="auto"/>
                <w:szCs w:val="24"/>
                <w:highlight w:val="none"/>
              </w:rPr>
              <w:t>建筑执行绿色建筑标准比例</w:t>
            </w:r>
          </w:p>
        </w:tc>
        <w:tc>
          <w:tcPr>
            <w:tcW w:w="1724" w:type="dxa"/>
            <w:vAlign w:val="top"/>
          </w:tcPr>
          <w:p>
            <w:pPr>
              <w:spacing w:line="240" w:lineRule="auto"/>
              <w:ind w:firstLine="0" w:firstLineChars="0"/>
              <w:jc w:val="center"/>
              <w:rPr>
                <w:rFonts w:hint="default" w:ascii="仿宋" w:hAnsi="仿宋" w:eastAsia="仿宋"/>
                <w:color w:val="auto"/>
                <w:szCs w:val="24"/>
                <w:highlight w:val="none"/>
                <w:lang w:val="en-US" w:eastAsia="zh-CN"/>
              </w:rPr>
            </w:pPr>
            <w:r>
              <w:rPr>
                <w:rFonts w:hint="eastAsia" w:ascii="仿宋" w:hAnsi="仿宋" w:eastAsia="仿宋"/>
                <w:color w:val="auto"/>
                <w:szCs w:val="24"/>
                <w:highlight w:val="none"/>
                <w:lang w:val="en-US" w:eastAsia="zh-CN"/>
              </w:rPr>
              <w:t>100%</w:t>
            </w:r>
          </w:p>
        </w:tc>
        <w:tc>
          <w:tcPr>
            <w:tcW w:w="1717" w:type="dxa"/>
            <w:vAlign w:val="top"/>
          </w:tcPr>
          <w:p>
            <w:pPr>
              <w:spacing w:line="240" w:lineRule="auto"/>
              <w:ind w:firstLine="0" w:firstLineChars="0"/>
              <w:jc w:val="center"/>
              <w:rPr>
                <w:rFonts w:hint="eastAsia" w:ascii="仿宋" w:hAnsi="仿宋" w:eastAsia="仿宋"/>
                <w:color w:val="auto"/>
                <w:szCs w:val="24"/>
                <w:highlight w:val="none"/>
              </w:rPr>
            </w:pPr>
            <w:r>
              <w:rPr>
                <w:rFonts w:hint="eastAsia" w:ascii="仿宋" w:hAnsi="仿宋" w:eastAsia="仿宋"/>
                <w:color w:val="auto"/>
                <w:szCs w:val="24"/>
                <w:highlight w:val="none"/>
              </w:rPr>
              <w:t>1</w:t>
            </w:r>
            <w:r>
              <w:rPr>
                <w:rFonts w:ascii="仿宋" w:hAnsi="仿宋" w:eastAsia="仿宋"/>
                <w:color w:val="auto"/>
                <w:szCs w:val="24"/>
                <w:highlight w:val="none"/>
              </w:rPr>
              <w:t>00%</w:t>
            </w:r>
          </w:p>
        </w:tc>
        <w:tc>
          <w:tcPr>
            <w:tcW w:w="1000" w:type="dxa"/>
            <w:vAlign w:val="top"/>
          </w:tcPr>
          <w:p>
            <w:pPr>
              <w:spacing w:line="240" w:lineRule="auto"/>
              <w:ind w:firstLine="0" w:firstLineChars="0"/>
              <w:jc w:val="center"/>
              <w:rPr>
                <w:rFonts w:hint="eastAsia" w:ascii="仿宋" w:hAnsi="仿宋" w:eastAsia="仿宋"/>
                <w:color w:val="auto"/>
                <w:szCs w:val="24"/>
                <w:highlight w:val="none"/>
              </w:rPr>
            </w:pPr>
            <w:r>
              <w:rPr>
                <w:rFonts w:hint="eastAsia" w:ascii="仿宋" w:hAnsi="仿宋" w:eastAsia="仿宋"/>
                <w:color w:val="auto"/>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3204" w:type="dxa"/>
            <w:vAlign w:val="top"/>
          </w:tcPr>
          <w:p>
            <w:pPr>
              <w:spacing w:line="240" w:lineRule="auto"/>
              <w:ind w:firstLine="0" w:firstLineChars="0"/>
              <w:jc w:val="center"/>
              <w:rPr>
                <w:rFonts w:hint="default" w:ascii="仿宋" w:hAnsi="仿宋" w:eastAsia="仿宋"/>
                <w:color w:val="auto"/>
                <w:szCs w:val="24"/>
                <w:highlight w:val="none"/>
                <w:lang w:val="en-US" w:eastAsia="zh-CN"/>
              </w:rPr>
            </w:pPr>
            <w:r>
              <w:rPr>
                <w:rFonts w:hint="eastAsia" w:ascii="仿宋" w:hAnsi="仿宋" w:eastAsia="仿宋"/>
                <w:color w:val="auto"/>
                <w:szCs w:val="24"/>
                <w:highlight w:val="none"/>
              </w:rPr>
              <w:t>新建</w:t>
            </w:r>
            <w:r>
              <w:rPr>
                <w:rFonts w:hint="eastAsia" w:ascii="仿宋" w:hAnsi="仿宋" w:eastAsia="仿宋"/>
                <w:color w:val="auto"/>
                <w:szCs w:val="24"/>
                <w:highlight w:val="none"/>
                <w:lang w:val="en-US" w:eastAsia="zh-CN"/>
              </w:rPr>
              <w:t>民用</w:t>
            </w:r>
            <w:r>
              <w:rPr>
                <w:rFonts w:hint="eastAsia" w:ascii="仿宋" w:hAnsi="仿宋" w:eastAsia="仿宋"/>
                <w:color w:val="auto"/>
                <w:szCs w:val="24"/>
                <w:highlight w:val="none"/>
              </w:rPr>
              <w:t>建筑高星级</w:t>
            </w:r>
            <w:r>
              <w:rPr>
                <w:rFonts w:hint="eastAsia" w:ascii="仿宋" w:hAnsi="仿宋" w:eastAsia="仿宋"/>
                <w:color w:val="auto"/>
                <w:szCs w:val="24"/>
                <w:highlight w:val="none"/>
                <w:lang w:val="en-US" w:eastAsia="zh-CN"/>
              </w:rPr>
              <w:t>绿色建筑占比</w:t>
            </w:r>
          </w:p>
        </w:tc>
        <w:tc>
          <w:tcPr>
            <w:tcW w:w="1724" w:type="dxa"/>
            <w:vAlign w:val="top"/>
          </w:tcPr>
          <w:p>
            <w:pPr>
              <w:spacing w:line="240" w:lineRule="auto"/>
              <w:ind w:firstLine="0" w:firstLineChars="0"/>
              <w:jc w:val="center"/>
              <w:rPr>
                <w:rFonts w:hint="default" w:ascii="仿宋" w:hAnsi="仿宋" w:eastAsia="仿宋"/>
                <w:color w:val="auto"/>
                <w:szCs w:val="24"/>
                <w:highlight w:val="none"/>
                <w:lang w:val="en-US" w:eastAsia="zh-CN"/>
              </w:rPr>
            </w:pPr>
            <w:r>
              <w:rPr>
                <w:rFonts w:hint="eastAsia" w:ascii="仿宋" w:hAnsi="仿宋" w:eastAsia="仿宋"/>
                <w:color w:val="auto"/>
                <w:szCs w:val="24"/>
                <w:highlight w:val="none"/>
                <w:lang w:val="en-US" w:eastAsia="zh-CN"/>
              </w:rPr>
              <w:t>50%</w:t>
            </w:r>
          </w:p>
        </w:tc>
        <w:tc>
          <w:tcPr>
            <w:tcW w:w="1717" w:type="dxa"/>
            <w:vAlign w:val="top"/>
          </w:tcPr>
          <w:p>
            <w:pPr>
              <w:spacing w:line="240" w:lineRule="auto"/>
              <w:ind w:firstLine="0" w:firstLineChars="0"/>
              <w:jc w:val="center"/>
              <w:rPr>
                <w:rFonts w:hint="eastAsia" w:ascii="仿宋" w:hAnsi="仿宋" w:eastAsia="仿宋"/>
                <w:color w:val="auto"/>
                <w:szCs w:val="24"/>
                <w:highlight w:val="none"/>
              </w:rPr>
            </w:pPr>
            <w:r>
              <w:rPr>
                <w:rFonts w:hint="eastAsia" w:ascii="仿宋" w:hAnsi="仿宋" w:eastAsia="仿宋"/>
                <w:color w:val="auto"/>
                <w:szCs w:val="24"/>
                <w:highlight w:val="none"/>
                <w:lang w:val="en-US" w:eastAsia="zh-CN"/>
              </w:rPr>
              <w:t>70</w:t>
            </w:r>
            <w:r>
              <w:rPr>
                <w:rFonts w:ascii="仿宋" w:hAnsi="仿宋" w:eastAsia="仿宋"/>
                <w:color w:val="auto"/>
                <w:szCs w:val="24"/>
                <w:highlight w:val="none"/>
              </w:rPr>
              <w:t>%</w:t>
            </w:r>
          </w:p>
        </w:tc>
        <w:tc>
          <w:tcPr>
            <w:tcW w:w="1000" w:type="dxa"/>
            <w:vAlign w:val="top"/>
          </w:tcPr>
          <w:p>
            <w:pPr>
              <w:spacing w:line="240" w:lineRule="auto"/>
              <w:ind w:firstLine="0" w:firstLineChars="0"/>
              <w:jc w:val="center"/>
              <w:rPr>
                <w:rFonts w:hint="eastAsia" w:ascii="仿宋" w:hAnsi="仿宋" w:eastAsia="仿宋"/>
                <w:color w:val="auto"/>
                <w:szCs w:val="24"/>
                <w:highlight w:val="none"/>
              </w:rPr>
            </w:pPr>
            <w:r>
              <w:rPr>
                <w:rFonts w:hint="eastAsia" w:ascii="仿宋" w:hAnsi="仿宋" w:eastAsia="仿宋"/>
                <w:color w:val="auto"/>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4" w:type="dxa"/>
            <w:vAlign w:val="top"/>
          </w:tcPr>
          <w:p>
            <w:pPr>
              <w:spacing w:line="240" w:lineRule="auto"/>
              <w:ind w:firstLine="0" w:firstLineChars="0"/>
              <w:jc w:val="center"/>
              <w:rPr>
                <w:rFonts w:hint="eastAsia" w:ascii="仿宋" w:hAnsi="仿宋" w:eastAsia="仿宋"/>
                <w:color w:val="auto"/>
                <w:szCs w:val="24"/>
                <w:highlight w:val="none"/>
              </w:rPr>
            </w:pPr>
            <w:r>
              <w:rPr>
                <w:rFonts w:hint="eastAsia" w:ascii="仿宋" w:hAnsi="仿宋" w:eastAsia="仿宋"/>
                <w:color w:val="auto"/>
                <w:szCs w:val="24"/>
                <w:highlight w:val="none"/>
              </w:rPr>
              <w:t>累计新建绿色建筑面积（万平方米）</w:t>
            </w:r>
          </w:p>
        </w:tc>
        <w:tc>
          <w:tcPr>
            <w:tcW w:w="1724" w:type="dxa"/>
            <w:vAlign w:val="top"/>
          </w:tcPr>
          <w:p>
            <w:pPr>
              <w:spacing w:line="240" w:lineRule="auto"/>
              <w:ind w:firstLine="0" w:firstLineChars="0"/>
              <w:jc w:val="center"/>
              <w:rPr>
                <w:rFonts w:hint="default" w:ascii="仿宋" w:hAnsi="仿宋" w:eastAsia="仿宋"/>
                <w:color w:val="auto"/>
                <w:szCs w:val="24"/>
                <w:highlight w:val="none"/>
                <w:lang w:val="en-US" w:eastAsia="zh-CN"/>
              </w:rPr>
            </w:pPr>
            <w:r>
              <w:rPr>
                <w:rFonts w:hint="eastAsia" w:ascii="仿宋" w:hAnsi="仿宋" w:eastAsia="仿宋"/>
                <w:color w:val="auto"/>
                <w:szCs w:val="24"/>
                <w:highlight w:val="none"/>
                <w:lang w:val="en-US" w:eastAsia="zh-CN"/>
              </w:rPr>
              <w:t>6000</w:t>
            </w:r>
          </w:p>
        </w:tc>
        <w:tc>
          <w:tcPr>
            <w:tcW w:w="1717" w:type="dxa"/>
            <w:vAlign w:val="top"/>
          </w:tcPr>
          <w:p>
            <w:pPr>
              <w:spacing w:line="240" w:lineRule="auto"/>
              <w:ind w:firstLine="0" w:firstLineChars="0"/>
              <w:jc w:val="center"/>
              <w:rPr>
                <w:rFonts w:hint="eastAsia" w:ascii="仿宋" w:hAnsi="仿宋" w:eastAsia="仿宋"/>
                <w:color w:val="auto"/>
                <w:szCs w:val="24"/>
                <w:highlight w:val="none"/>
              </w:rPr>
            </w:pPr>
            <w:r>
              <w:rPr>
                <w:rFonts w:hint="eastAsia" w:ascii="仿宋" w:hAnsi="仿宋" w:eastAsia="仿宋"/>
                <w:color w:val="auto"/>
                <w:szCs w:val="24"/>
                <w:highlight w:val="none"/>
                <w:lang w:val="en-US" w:eastAsia="zh-CN"/>
              </w:rPr>
              <w:t>8</w:t>
            </w:r>
            <w:r>
              <w:rPr>
                <w:rFonts w:hint="eastAsia" w:ascii="仿宋" w:hAnsi="仿宋" w:eastAsia="仿宋"/>
                <w:color w:val="auto"/>
                <w:szCs w:val="24"/>
                <w:highlight w:val="none"/>
              </w:rPr>
              <w:t>000</w:t>
            </w:r>
          </w:p>
        </w:tc>
        <w:tc>
          <w:tcPr>
            <w:tcW w:w="1000" w:type="dxa"/>
            <w:vAlign w:val="top"/>
          </w:tcPr>
          <w:p>
            <w:pPr>
              <w:spacing w:line="240" w:lineRule="auto"/>
              <w:ind w:firstLine="0" w:firstLineChars="0"/>
              <w:jc w:val="center"/>
              <w:rPr>
                <w:rFonts w:hint="eastAsia" w:ascii="仿宋" w:hAnsi="仿宋" w:eastAsia="仿宋"/>
                <w:color w:val="auto"/>
                <w:szCs w:val="24"/>
                <w:highlight w:val="none"/>
              </w:rPr>
            </w:pPr>
            <w:r>
              <w:rPr>
                <w:rFonts w:hint="eastAsia" w:ascii="仿宋" w:hAnsi="仿宋" w:eastAsia="仿宋"/>
                <w:color w:val="auto"/>
                <w:szCs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4" w:type="dxa"/>
            <w:vAlign w:val="top"/>
          </w:tcPr>
          <w:p>
            <w:pPr>
              <w:spacing w:line="240" w:lineRule="auto"/>
              <w:ind w:firstLine="0" w:firstLineChars="0"/>
              <w:jc w:val="center"/>
              <w:rPr>
                <w:rFonts w:hint="eastAsia" w:ascii="仿宋" w:hAnsi="仿宋" w:eastAsia="仿宋"/>
                <w:b w:val="0"/>
                <w:bCs w:val="0"/>
                <w:color w:val="auto"/>
                <w:szCs w:val="24"/>
                <w:highlight w:val="none"/>
              </w:rPr>
            </w:pPr>
            <w:r>
              <w:rPr>
                <w:rFonts w:hint="eastAsia" w:ascii="仿宋" w:hAnsi="仿宋" w:eastAsia="仿宋"/>
                <w:b w:val="0"/>
                <w:bCs w:val="0"/>
                <w:color w:val="auto"/>
                <w:szCs w:val="24"/>
                <w:highlight w:val="none"/>
              </w:rPr>
              <w:t>既有建筑节能改造</w:t>
            </w:r>
            <w:r>
              <w:rPr>
                <w:rFonts w:hint="eastAsia" w:ascii="仿宋" w:hAnsi="仿宋" w:eastAsia="仿宋"/>
                <w:b w:val="0"/>
                <w:bCs w:val="0"/>
                <w:color w:val="auto"/>
                <w:szCs w:val="24"/>
                <w:highlight w:val="none"/>
                <w:lang w:val="en-US" w:eastAsia="zh-CN"/>
              </w:rPr>
              <w:t>和</w:t>
            </w:r>
            <w:r>
              <w:rPr>
                <w:rFonts w:hint="eastAsia" w:ascii="仿宋" w:hAnsi="仿宋" w:eastAsia="仿宋"/>
                <w:b w:val="0"/>
                <w:bCs w:val="0"/>
                <w:color w:val="auto"/>
                <w:szCs w:val="24"/>
                <w:highlight w:val="none"/>
              </w:rPr>
              <w:t>绿色化改造面积（万平方米）</w:t>
            </w:r>
          </w:p>
        </w:tc>
        <w:tc>
          <w:tcPr>
            <w:tcW w:w="1724" w:type="dxa"/>
            <w:vAlign w:val="top"/>
          </w:tcPr>
          <w:p>
            <w:pPr>
              <w:spacing w:line="240" w:lineRule="auto"/>
              <w:ind w:firstLine="0" w:firstLineChars="0"/>
              <w:jc w:val="center"/>
              <w:rPr>
                <w:rFonts w:hint="default" w:ascii="仿宋" w:hAnsi="仿宋" w:eastAsia="仿宋"/>
                <w:b w:val="0"/>
                <w:bCs w:val="0"/>
                <w:color w:val="auto"/>
                <w:szCs w:val="24"/>
                <w:highlight w:val="none"/>
                <w:lang w:val="en-US" w:eastAsia="zh-CN"/>
              </w:rPr>
            </w:pPr>
            <w:r>
              <w:rPr>
                <w:rFonts w:hint="eastAsia" w:ascii="仿宋" w:hAnsi="仿宋" w:eastAsia="仿宋"/>
                <w:b w:val="0"/>
                <w:bCs w:val="0"/>
                <w:color w:val="auto"/>
                <w:szCs w:val="24"/>
                <w:highlight w:val="none"/>
                <w:lang w:val="en-US" w:eastAsia="zh-CN"/>
              </w:rPr>
              <w:t>500</w:t>
            </w:r>
          </w:p>
        </w:tc>
        <w:tc>
          <w:tcPr>
            <w:tcW w:w="1717" w:type="dxa"/>
            <w:vAlign w:val="top"/>
          </w:tcPr>
          <w:p>
            <w:pPr>
              <w:spacing w:line="240" w:lineRule="auto"/>
              <w:ind w:firstLine="0" w:firstLineChars="0"/>
              <w:jc w:val="center"/>
              <w:rPr>
                <w:rFonts w:hint="default" w:ascii="仿宋" w:hAnsi="仿宋" w:eastAsia="仿宋"/>
                <w:b w:val="0"/>
                <w:bCs w:val="0"/>
                <w:color w:val="auto"/>
                <w:szCs w:val="24"/>
                <w:highlight w:val="none"/>
                <w:lang w:val="en-US" w:eastAsia="zh-CN"/>
              </w:rPr>
            </w:pPr>
            <w:r>
              <w:rPr>
                <w:rFonts w:hint="eastAsia" w:ascii="仿宋" w:hAnsi="仿宋" w:eastAsia="仿宋"/>
                <w:b w:val="0"/>
                <w:bCs w:val="0"/>
                <w:color w:val="auto"/>
                <w:szCs w:val="24"/>
                <w:highlight w:val="none"/>
                <w:lang w:val="en-US" w:eastAsia="zh-CN"/>
              </w:rPr>
              <w:t>1000</w:t>
            </w:r>
          </w:p>
        </w:tc>
        <w:tc>
          <w:tcPr>
            <w:tcW w:w="1000" w:type="dxa"/>
            <w:vAlign w:val="top"/>
          </w:tcPr>
          <w:p>
            <w:pPr>
              <w:spacing w:line="240" w:lineRule="auto"/>
              <w:ind w:firstLine="0" w:firstLineChars="0"/>
              <w:jc w:val="center"/>
              <w:rPr>
                <w:rFonts w:hint="eastAsia" w:ascii="仿宋" w:hAnsi="仿宋" w:eastAsia="仿宋"/>
                <w:b w:val="0"/>
                <w:bCs w:val="0"/>
                <w:color w:val="auto"/>
                <w:szCs w:val="24"/>
                <w:highlight w:val="none"/>
              </w:rPr>
            </w:pPr>
            <w:r>
              <w:rPr>
                <w:rFonts w:hint="eastAsia" w:ascii="仿宋" w:hAnsi="仿宋" w:eastAsia="仿宋"/>
                <w:b w:val="0"/>
                <w:bCs w:val="0"/>
                <w:color w:val="auto"/>
                <w:szCs w:val="24"/>
                <w:highlight w:val="none"/>
              </w:rPr>
              <w:t>预期性</w:t>
            </w:r>
          </w:p>
        </w:tc>
      </w:tr>
    </w:tbl>
    <w:p>
      <w:pPr>
        <w:spacing w:line="240" w:lineRule="auto"/>
        <w:ind w:firstLine="480" w:firstLineChars="200"/>
        <w:jc w:val="left"/>
        <w:rPr>
          <w:rFonts w:hint="eastAsia" w:ascii="仿宋" w:hAnsi="仿宋" w:eastAsia="仿宋"/>
          <w:color w:val="auto"/>
          <w:szCs w:val="24"/>
          <w:highlight w:val="none"/>
          <w:lang w:val="en-US" w:eastAsia="zh-CN"/>
        </w:rPr>
      </w:pPr>
      <w:r>
        <w:rPr>
          <w:rFonts w:hint="eastAsia" w:ascii="仿宋" w:hAnsi="仿宋" w:eastAsia="仿宋"/>
          <w:color w:val="auto"/>
          <w:szCs w:val="24"/>
          <w:highlight w:val="none"/>
          <w:lang w:val="en-US" w:eastAsia="zh-CN"/>
        </w:rPr>
        <w:t>注：</w:t>
      </w:r>
    </w:p>
    <w:p>
      <w:pPr>
        <w:spacing w:line="240" w:lineRule="auto"/>
        <w:ind w:firstLine="480" w:firstLineChars="200"/>
        <w:jc w:val="left"/>
        <w:rPr>
          <w:rFonts w:hint="eastAsia" w:ascii="仿宋" w:hAnsi="仿宋" w:eastAsia="仿宋"/>
          <w:color w:val="auto"/>
          <w:szCs w:val="24"/>
          <w:highlight w:val="none"/>
          <w:lang w:val="en-US" w:eastAsia="zh-CN"/>
        </w:rPr>
      </w:pPr>
      <w:r>
        <w:rPr>
          <w:rFonts w:hint="eastAsia" w:ascii="仿宋" w:hAnsi="仿宋" w:eastAsia="仿宋"/>
          <w:color w:val="auto"/>
          <w:szCs w:val="24"/>
          <w:highlight w:val="none"/>
          <w:lang w:val="en-US" w:eastAsia="zh-CN"/>
        </w:rPr>
        <w:t>1.高星级绿色建筑指符合《绿色建筑评价标准》GB/T50378二星级及以上标准的建筑。</w:t>
      </w:r>
    </w:p>
    <w:p>
      <w:pPr>
        <w:pStyle w:val="2"/>
        <w:rPr>
          <w:rFonts w:hint="default"/>
          <w:lang w:val="en-US" w:eastAsia="zh-CN"/>
        </w:rPr>
      </w:pPr>
      <w:r>
        <w:rPr>
          <w:rFonts w:hint="eastAsia" w:ascii="仿宋" w:hAnsi="仿宋" w:eastAsia="仿宋"/>
          <w:color w:val="auto"/>
          <w:szCs w:val="24"/>
          <w:highlight w:val="none"/>
          <w:lang w:val="en-US" w:eastAsia="zh-CN"/>
        </w:rPr>
        <w:t>2.新建建筑指至发文之日起取得工程规划许可证的建筑项目。</w:t>
      </w:r>
    </w:p>
    <w:p>
      <w:pPr>
        <w:snapToGrid w:val="0"/>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、重点任务</w:t>
      </w:r>
    </w:p>
    <w:p>
      <w:pPr>
        <w:snapToGrid w:val="0"/>
        <w:spacing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1" w:name="_Toc22654033"/>
      <w:bookmarkStart w:id="2" w:name="_Toc36322521"/>
      <w:r>
        <w:rPr>
          <w:rFonts w:hint="eastAsia" w:ascii="楷体_GB2312" w:hAnsi="楷体_GB2312" w:eastAsia="楷体_GB2312" w:cs="楷体_GB2312"/>
          <w:color w:val="auto"/>
          <w:sz w:val="32"/>
          <w:szCs w:val="32"/>
          <w:highlight w:val="none"/>
          <w:lang w:val="en-US" w:eastAsia="zh-CN"/>
        </w:rPr>
        <w:t>（一）加强顶层制度和标准体系构建</w:t>
      </w:r>
      <w:bookmarkEnd w:id="1"/>
      <w:bookmarkEnd w:id="2"/>
      <w:bookmarkStart w:id="3" w:name="_Toc22654035"/>
    </w:p>
    <w:p>
      <w:pPr>
        <w:numPr>
          <w:ilvl w:val="0"/>
          <w:numId w:val="0"/>
        </w:numPr>
        <w:snapToGrid w:val="0"/>
        <w:spacing w:line="560" w:lineRule="exact"/>
        <w:ind w:firstLine="643"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1.健全政策法规体系。</w:t>
      </w:r>
      <w:r>
        <w:rPr>
          <w:rFonts w:hint="eastAsia" w:ascii="仿宋_GB2312" w:hAnsi="仿宋_GB2312" w:eastAsia="仿宋_GB2312" w:cs="仿宋_GB2312"/>
          <w:color w:val="auto"/>
          <w:sz w:val="32"/>
          <w:szCs w:val="32"/>
          <w:highlight w:val="none"/>
          <w:lang w:val="en-US" w:eastAsia="zh-CN"/>
        </w:rPr>
        <w:t>加快</w:t>
      </w:r>
      <w:r>
        <w:rPr>
          <w:rFonts w:hint="eastAsia" w:ascii="仿宋_GB2312" w:hAnsi="仿宋_GB2312" w:eastAsia="仿宋_GB2312" w:cs="仿宋_GB2312"/>
          <w:color w:val="auto"/>
          <w:sz w:val="32"/>
          <w:szCs w:val="32"/>
          <w:highlight w:val="none"/>
        </w:rPr>
        <w:t>《深圳经济特区</w:t>
      </w:r>
      <w:r>
        <w:rPr>
          <w:rFonts w:hint="eastAsia" w:ascii="仿宋_GB2312" w:hAnsi="仿宋_GB2312" w:eastAsia="仿宋_GB2312" w:cs="仿宋_GB2312"/>
          <w:color w:val="auto"/>
          <w:sz w:val="32"/>
          <w:szCs w:val="32"/>
          <w:highlight w:val="none"/>
          <w:lang w:val="en-US" w:eastAsia="zh-CN"/>
        </w:rPr>
        <w:t>绿色建筑</w:t>
      </w:r>
      <w:r>
        <w:rPr>
          <w:rFonts w:hint="eastAsia" w:ascii="仿宋_GB2312" w:hAnsi="仿宋_GB2312" w:eastAsia="仿宋_GB2312" w:cs="仿宋_GB2312"/>
          <w:color w:val="auto"/>
          <w:sz w:val="32"/>
          <w:szCs w:val="32"/>
          <w:highlight w:val="none"/>
        </w:rPr>
        <w:t>条例</w:t>
      </w:r>
      <w:r>
        <w:rPr>
          <w:rFonts w:hint="eastAsia" w:ascii="仿宋_GB2312" w:hAnsi="仿宋_GB2312" w:eastAsia="仿宋_GB2312" w:cs="仿宋_GB2312"/>
          <w:color w:val="auto"/>
          <w:sz w:val="32"/>
          <w:szCs w:val="32"/>
          <w:highlight w:val="none"/>
          <w:lang w:val="en-US" w:eastAsia="zh-CN"/>
        </w:rPr>
        <w:t>立法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形成促进绿色建筑高质量发展的法治环境。</w:t>
      </w:r>
      <w:r>
        <w:rPr>
          <w:rFonts w:hint="eastAsia" w:ascii="仿宋_GB2312" w:hAnsi="仿宋_GB2312" w:eastAsia="仿宋_GB2312" w:cs="仿宋_GB2312"/>
          <w:color w:val="auto"/>
          <w:sz w:val="32"/>
          <w:szCs w:val="32"/>
          <w:highlight w:val="none"/>
          <w:lang w:val="en-US" w:eastAsia="zh-CN"/>
        </w:rPr>
        <w:t>制定条例相关配套政策，优化完善绿色建筑规划、建设、验收、运行、改造和后评估等全生命期工作机制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构建建筑行业低碳发展工作机制，建立健全建筑碳排放统计、审计、监测、核查以及碳交易等相关制度。</w:t>
      </w:r>
    </w:p>
    <w:p>
      <w:pPr>
        <w:numPr>
          <w:ilvl w:val="0"/>
          <w:numId w:val="0"/>
        </w:numPr>
        <w:snapToGrid w:val="0"/>
        <w:spacing w:line="560" w:lineRule="exact"/>
        <w:ind w:firstLine="643" w:firstLineChars="200"/>
        <w:jc w:val="both"/>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2.完善技术标准体系。</w:t>
      </w:r>
      <w:r>
        <w:rPr>
          <w:rFonts w:hint="eastAsia" w:ascii="仿宋_GB2312" w:hAnsi="仿宋_GB2312" w:eastAsia="仿宋_GB2312" w:cs="仿宋_GB2312"/>
          <w:color w:val="auto"/>
          <w:sz w:val="32"/>
          <w:szCs w:val="32"/>
          <w:highlight w:val="none"/>
          <w:lang w:val="en-US" w:eastAsia="zh-CN"/>
        </w:rPr>
        <w:t>以先进标准引领质量提升，在</w:t>
      </w:r>
      <w:r>
        <w:rPr>
          <w:rFonts w:hint="eastAsia" w:ascii="仿宋_GB2312" w:hAnsi="仿宋_GB2312" w:eastAsia="仿宋_GB2312" w:cs="仿宋_GB2312"/>
          <w:color w:val="auto"/>
          <w:sz w:val="32"/>
          <w:szCs w:val="32"/>
          <w:highlight w:val="none"/>
        </w:rPr>
        <w:t>总结经验</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广泛调研</w:t>
      </w:r>
      <w:r>
        <w:rPr>
          <w:rFonts w:hint="eastAsia" w:ascii="仿宋_GB2312" w:hAnsi="仿宋_GB2312" w:eastAsia="仿宋_GB2312" w:cs="仿宋_GB2312"/>
          <w:color w:val="auto"/>
          <w:sz w:val="32"/>
          <w:szCs w:val="32"/>
          <w:highlight w:val="none"/>
          <w:lang w:val="en-US" w:eastAsia="zh-CN"/>
        </w:rPr>
        <w:t>基础上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修订建筑节能和能耗限额标准，全面提升节能性能要求，树立夏热冬暖地区的能效提升标杆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对标先进，加快构建绿色建筑、超低能耗建筑、近零能耗建筑、零碳建筑标准和技术体系，</w:t>
      </w:r>
      <w:r>
        <w:rPr>
          <w:rFonts w:hint="eastAsia" w:ascii="仿宋_GB2312" w:hAnsi="仿宋_GB2312" w:eastAsia="仿宋_GB2312" w:cs="仿宋_GB2312"/>
          <w:color w:val="auto"/>
          <w:sz w:val="32"/>
          <w:szCs w:val="32"/>
          <w:highlight w:val="none"/>
        </w:rPr>
        <w:t>鼓励社会组织、企业研究制定实施更高要求的团体标准和企业标准。</w:t>
      </w:r>
    </w:p>
    <w:p>
      <w:pPr>
        <w:overflowPunct w:val="0"/>
        <w:snapToGrid w:val="0"/>
        <w:spacing w:line="560" w:lineRule="exact"/>
        <w:ind w:firstLine="640" w:firstLineChars="0"/>
        <w:jc w:val="left"/>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3.编制专项规划。</w:t>
      </w:r>
      <w:r>
        <w:rPr>
          <w:rFonts w:hint="eastAsia" w:ascii="仿宋_GB2312" w:hAnsi="仿宋_GB2312" w:eastAsia="仿宋_GB2312" w:cs="仿宋_GB2312"/>
          <w:b w:val="0"/>
          <w:bCs w:val="0"/>
          <w:color w:val="auto"/>
          <w:sz w:val="32"/>
          <w:szCs w:val="32"/>
          <w:highlight w:val="none"/>
          <w:lang w:val="en-US" w:eastAsia="zh-CN"/>
        </w:rPr>
        <w:t>编制发布全市绿色建筑发展专项规划，明确绿色建筑发展目标、重点发展区域、主要任务、关键技术路线以及保障措施等内容。</w:t>
      </w:r>
      <w:r>
        <w:rPr>
          <w:rFonts w:hint="default" w:ascii="仿宋_GB2312" w:hAnsi="微软雅黑" w:eastAsia="仿宋_GB2312" w:cs="Times New Roman"/>
          <w:color w:val="auto"/>
          <w:kern w:val="2"/>
          <w:sz w:val="32"/>
          <w:szCs w:val="32"/>
        </w:rPr>
        <w:t>绿色建筑发展专项规划应当符合国土空间规划</w:t>
      </w:r>
      <w:r>
        <w:rPr>
          <w:rFonts w:hint="default" w:ascii="仿宋_GB2312" w:hAnsi="微软雅黑" w:eastAsia="仿宋_GB2312" w:cs="Times New Roman"/>
          <w:color w:val="auto"/>
          <w:spacing w:val="-6"/>
          <w:kern w:val="2"/>
          <w:sz w:val="32"/>
          <w:szCs w:val="32"/>
        </w:rPr>
        <w:t>，</w:t>
      </w:r>
      <w:r>
        <w:rPr>
          <w:rFonts w:hint="eastAsia" w:ascii="仿宋_GB2312" w:hAnsi="微软雅黑" w:eastAsia="仿宋_GB2312" w:cs="Times New Roman"/>
          <w:color w:val="auto"/>
          <w:spacing w:val="-6"/>
          <w:kern w:val="2"/>
          <w:sz w:val="32"/>
          <w:szCs w:val="32"/>
          <w:lang w:val="en-US" w:eastAsia="zh-CN"/>
        </w:rPr>
        <w:t>并</w:t>
      </w:r>
      <w:r>
        <w:rPr>
          <w:rFonts w:hint="default" w:ascii="仿宋_GB2312" w:hAnsi="微软雅黑" w:eastAsia="仿宋_GB2312" w:cs="Times New Roman"/>
          <w:color w:val="auto"/>
          <w:spacing w:val="-6"/>
          <w:kern w:val="2"/>
          <w:sz w:val="32"/>
          <w:szCs w:val="32"/>
        </w:rPr>
        <w:t>与生态环境保护、能源综合利用等专项规划相协调</w:t>
      </w:r>
      <w:r>
        <w:rPr>
          <w:rFonts w:hint="eastAsia" w:eastAsia="仿宋_GB2312"/>
          <w:color w:val="auto"/>
          <w:sz w:val="32"/>
          <w:szCs w:val="32"/>
        </w:rPr>
        <w:t>。市规划和自然资源部门应当将绿色建筑发展专项规划相关内容纳入控制性详细规划</w:t>
      </w:r>
      <w:r>
        <w:rPr>
          <w:rFonts w:hint="eastAsia" w:eastAsia="仿宋_GB2312"/>
          <w:color w:val="auto"/>
          <w:sz w:val="32"/>
          <w:szCs w:val="32"/>
          <w:lang w:eastAsia="zh-CN"/>
        </w:rPr>
        <w:t>。</w:t>
      </w:r>
    </w:p>
    <w:p>
      <w:pPr>
        <w:snapToGrid w:val="0"/>
        <w:spacing w:line="560" w:lineRule="exact"/>
        <w:ind w:firstLine="640" w:firstLineChars="200"/>
        <w:jc w:val="both"/>
        <w:rPr>
          <w:rFonts w:hint="eastAsia"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（二）加强全过程质量管理</w:t>
      </w:r>
    </w:p>
    <w:p>
      <w:pPr>
        <w:snapToGrid w:val="0"/>
        <w:spacing w:line="560" w:lineRule="exact"/>
        <w:ind w:firstLine="643"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4.加强立项用地阶段管控。</w:t>
      </w:r>
      <w:r>
        <w:rPr>
          <w:rFonts w:hint="eastAsia" w:eastAsia="仿宋_GB2312"/>
          <w:color w:val="auto"/>
          <w:sz w:val="32"/>
          <w:szCs w:val="32"/>
        </w:rPr>
        <w:t>建设用地规划条件</w:t>
      </w:r>
      <w:r>
        <w:rPr>
          <w:rFonts w:hint="eastAsia" w:eastAsia="仿宋_GB2312"/>
          <w:color w:val="auto"/>
          <w:sz w:val="32"/>
          <w:szCs w:val="32"/>
          <w:lang w:eastAsia="zh-CN"/>
        </w:rPr>
        <w:t>、</w:t>
      </w:r>
      <w:r>
        <w:rPr>
          <w:rFonts w:hint="eastAsia" w:eastAsia="仿宋_GB2312"/>
          <w:color w:val="auto"/>
          <w:sz w:val="32"/>
          <w:szCs w:val="32"/>
        </w:rPr>
        <w:t>国有建设用地使用权出让合同</w:t>
      </w:r>
      <w:r>
        <w:rPr>
          <w:rFonts w:hint="eastAsia" w:eastAsia="仿宋_GB2312"/>
          <w:color w:val="auto"/>
          <w:sz w:val="32"/>
          <w:szCs w:val="32"/>
          <w:lang w:eastAsia="zh-CN"/>
        </w:rPr>
        <w:t>、</w:t>
      </w:r>
      <w:r>
        <w:rPr>
          <w:rFonts w:hint="eastAsia" w:eastAsia="仿宋_GB2312"/>
          <w:color w:val="auto"/>
          <w:sz w:val="32"/>
          <w:szCs w:val="32"/>
        </w:rPr>
        <w:t>国有土地划拨决定书以及建设工程规划许可证中</w:t>
      </w:r>
      <w:r>
        <w:rPr>
          <w:rFonts w:hint="eastAsia" w:eastAsia="仿宋_GB2312"/>
          <w:color w:val="auto"/>
          <w:sz w:val="32"/>
          <w:szCs w:val="32"/>
          <w:lang w:val="en-US" w:eastAsia="zh-CN"/>
        </w:rPr>
        <w:t>应当</w:t>
      </w:r>
      <w:r>
        <w:rPr>
          <w:rFonts w:hint="eastAsia" w:eastAsia="仿宋_GB2312"/>
          <w:color w:val="auto"/>
          <w:sz w:val="32"/>
          <w:szCs w:val="32"/>
        </w:rPr>
        <w:t>明确绿色建筑等级、装配式等新型建筑工业化建造方式的要求</w:t>
      </w:r>
      <w:r>
        <w:rPr>
          <w:rFonts w:hint="eastAsia" w:ascii="仿宋_GB2312" w:hAnsi="仿宋_GB2312" w:eastAsia="仿宋_GB2312" w:cs="仿宋_GB2312"/>
          <w:color w:val="auto"/>
          <w:sz w:val="32"/>
          <w:szCs w:val="32"/>
          <w:highlight w:val="none"/>
          <w:lang w:val="en-US" w:eastAsia="zh-CN"/>
        </w:rPr>
        <w:t>；</w:t>
      </w:r>
      <w:r>
        <w:rPr>
          <w:rFonts w:hint="eastAsia" w:hAnsi="仿宋_GB2312" w:eastAsia="仿宋_GB2312" w:cs="仿宋_GB2312"/>
          <w:color w:val="auto"/>
          <w:sz w:val="32"/>
          <w:szCs w:val="32"/>
        </w:rPr>
        <w:t>在办理建设工程规划许可证</w:t>
      </w:r>
      <w:r>
        <w:rPr>
          <w:rFonts w:hAnsi="仿宋_GB2312" w:eastAsia="仿宋_GB2312" w:cs="仿宋_GB2312"/>
          <w:color w:val="auto"/>
          <w:sz w:val="32"/>
          <w:szCs w:val="32"/>
        </w:rPr>
        <w:t>时，应当</w:t>
      </w:r>
      <w:r>
        <w:rPr>
          <w:rFonts w:hint="eastAsia" w:hAnsi="仿宋_GB2312" w:eastAsia="仿宋_GB2312" w:cs="仿宋_GB2312"/>
          <w:color w:val="auto"/>
          <w:sz w:val="32"/>
          <w:szCs w:val="32"/>
        </w:rPr>
        <w:t>对建设项目方案设计及其绿色专篇进行审查，不符合</w:t>
      </w:r>
      <w:r>
        <w:rPr>
          <w:rFonts w:hint="eastAsia" w:hAnsi="仿宋_GB2312" w:eastAsia="仿宋_GB2312" w:cs="仿宋_GB2312"/>
          <w:color w:val="auto"/>
          <w:sz w:val="32"/>
          <w:szCs w:val="32"/>
          <w:lang w:val="en-US" w:eastAsia="zh-CN"/>
        </w:rPr>
        <w:t>要求</w:t>
      </w:r>
      <w:r>
        <w:rPr>
          <w:rFonts w:hint="eastAsia" w:hAnsi="仿宋_GB2312" w:eastAsia="仿宋_GB2312" w:cs="仿宋_GB2312"/>
          <w:color w:val="auto"/>
          <w:sz w:val="32"/>
          <w:szCs w:val="32"/>
        </w:rPr>
        <w:t>的，不予办理建设工程规划许可证。</w:t>
      </w:r>
      <w:r>
        <w:rPr>
          <w:rFonts w:hint="eastAsia" w:ascii="仿宋_GB2312" w:hAnsi="仿宋_GB2312" w:eastAsia="仿宋_GB2312" w:cs="仿宋_GB2312"/>
          <w:color w:val="auto"/>
          <w:sz w:val="32"/>
          <w:szCs w:val="32"/>
          <w:highlight w:val="none"/>
          <w:lang w:eastAsia="zh-CN"/>
        </w:rPr>
        <w:t>建设单位</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编制可行性研究报告</w:t>
      </w:r>
      <w:r>
        <w:rPr>
          <w:rFonts w:hint="eastAsia" w:ascii="仿宋_GB2312" w:hAnsi="仿宋_GB2312" w:eastAsia="仿宋_GB2312" w:cs="仿宋_GB2312"/>
          <w:color w:val="auto"/>
          <w:sz w:val="32"/>
          <w:szCs w:val="32"/>
          <w:highlight w:val="none"/>
          <w:lang w:eastAsia="zh-CN"/>
        </w:rPr>
        <w:t>或项目申请报告时应</w:t>
      </w:r>
      <w:r>
        <w:rPr>
          <w:rFonts w:hint="eastAsia" w:ascii="仿宋_GB2312" w:hAnsi="仿宋_GB2312" w:eastAsia="仿宋_GB2312" w:cs="仿宋_GB2312"/>
          <w:color w:val="auto"/>
          <w:sz w:val="32"/>
          <w:szCs w:val="32"/>
          <w:highlight w:val="none"/>
        </w:rPr>
        <w:t>明确</w:t>
      </w:r>
      <w:r>
        <w:rPr>
          <w:rFonts w:hint="eastAsia" w:ascii="仿宋_GB2312" w:hAnsi="仿宋_GB2312" w:eastAsia="仿宋_GB2312" w:cs="仿宋_GB2312"/>
          <w:color w:val="auto"/>
          <w:sz w:val="32"/>
          <w:szCs w:val="32"/>
          <w:highlight w:val="none"/>
          <w:lang w:eastAsia="zh-CN"/>
        </w:rPr>
        <w:t>绿色建筑等级、技术以及节能减排等内容。绿色建筑的相关费用纳入</w:t>
      </w:r>
      <w:r>
        <w:rPr>
          <w:rFonts w:hint="eastAsia" w:ascii="仿宋_GB2312" w:hAnsi="仿宋_GB2312" w:eastAsia="仿宋_GB2312" w:cs="仿宋_GB2312"/>
          <w:color w:val="auto"/>
          <w:sz w:val="32"/>
          <w:szCs w:val="32"/>
          <w:highlight w:val="none"/>
          <w:lang w:val="en-US" w:eastAsia="zh-CN"/>
        </w:rPr>
        <w:t>工程总投资。</w:t>
      </w:r>
    </w:p>
    <w:p>
      <w:pPr>
        <w:overflowPunct w:val="0"/>
        <w:snapToGrid w:val="0"/>
        <w:spacing w:line="560" w:lineRule="exact"/>
        <w:ind w:firstLine="643"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5.加强建设过程管控。</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val="en-US" w:eastAsia="zh-CN"/>
        </w:rPr>
        <w:t>单位应强化质量首要责任，</w:t>
      </w:r>
      <w:r>
        <w:rPr>
          <w:rFonts w:eastAsia="仿宋_GB2312"/>
          <w:color w:val="auto"/>
          <w:sz w:val="32"/>
          <w:szCs w:val="32"/>
        </w:rPr>
        <w:t>在进行建设项目咨询、设计、施工、监理的招标或者委托时，应当</w:t>
      </w:r>
      <w:r>
        <w:rPr>
          <w:rFonts w:hint="eastAsia" w:eastAsia="仿宋_GB2312"/>
          <w:color w:val="auto"/>
          <w:sz w:val="32"/>
          <w:szCs w:val="32"/>
        </w:rPr>
        <w:t>在合同中载明</w:t>
      </w:r>
      <w:r>
        <w:rPr>
          <w:rFonts w:eastAsia="仿宋_GB2312"/>
          <w:color w:val="auto"/>
          <w:sz w:val="32"/>
          <w:szCs w:val="32"/>
        </w:rPr>
        <w:t>建设项目的绿色建筑</w:t>
      </w:r>
      <w:r>
        <w:rPr>
          <w:rFonts w:hint="eastAsia" w:eastAsia="仿宋_GB2312"/>
          <w:color w:val="auto"/>
          <w:sz w:val="32"/>
          <w:szCs w:val="32"/>
        </w:rPr>
        <w:t>等级及相关</w:t>
      </w:r>
      <w:r>
        <w:rPr>
          <w:rFonts w:eastAsia="仿宋_GB2312"/>
          <w:color w:val="auto"/>
          <w:sz w:val="32"/>
          <w:szCs w:val="32"/>
        </w:rPr>
        <w:t>要求。</w:t>
      </w:r>
      <w:r>
        <w:rPr>
          <w:rFonts w:hint="eastAsia" w:ascii="仿宋_GB2312" w:hAnsi="仿宋_GB2312" w:eastAsia="仿宋_GB2312" w:cs="仿宋_GB2312"/>
          <w:color w:val="auto"/>
          <w:sz w:val="32"/>
          <w:szCs w:val="32"/>
          <w:highlight w:val="none"/>
        </w:rPr>
        <w:t>设计、施工、监理等各方严格落实质量主体责任，</w:t>
      </w:r>
      <w:r>
        <w:rPr>
          <w:rFonts w:hint="eastAsia" w:ascii="仿宋_GB2312" w:hAnsi="仿宋_GB2312" w:eastAsia="仿宋_GB2312" w:cs="仿宋_GB2312"/>
          <w:color w:val="auto"/>
          <w:sz w:val="32"/>
          <w:szCs w:val="32"/>
          <w:highlight w:val="none"/>
          <w:lang w:val="en-US" w:eastAsia="zh-CN"/>
        </w:rPr>
        <w:t>按要求编制</w:t>
      </w:r>
      <w:r>
        <w:rPr>
          <w:rFonts w:hint="eastAsia" w:eastAsia="仿宋_GB2312"/>
          <w:color w:val="auto"/>
          <w:sz w:val="32"/>
          <w:szCs w:val="32"/>
        </w:rPr>
        <w:t>绿色专篇，明确绿色建筑等级、节能减排目标</w:t>
      </w:r>
      <w:r>
        <w:rPr>
          <w:rFonts w:hint="eastAsia" w:eastAsia="仿宋_GB2312"/>
          <w:color w:val="auto"/>
          <w:sz w:val="32"/>
          <w:szCs w:val="32"/>
          <w:lang w:eastAsia="zh-CN"/>
        </w:rPr>
        <w:t>、</w:t>
      </w:r>
      <w:r>
        <w:rPr>
          <w:rFonts w:hint="eastAsia" w:eastAsia="仿宋_GB2312"/>
          <w:color w:val="auto"/>
          <w:sz w:val="32"/>
          <w:szCs w:val="32"/>
          <w:lang w:val="en-US" w:eastAsia="zh-CN"/>
        </w:rPr>
        <w:t>碳排放分析情况</w:t>
      </w:r>
      <w:r>
        <w:rPr>
          <w:rFonts w:hint="eastAsia" w:eastAsia="仿宋_GB2312"/>
          <w:color w:val="auto"/>
          <w:sz w:val="32"/>
          <w:szCs w:val="32"/>
        </w:rPr>
        <w:t>、技术路径</w:t>
      </w:r>
      <w:r>
        <w:rPr>
          <w:rFonts w:hint="eastAsia" w:eastAsia="仿宋_GB2312"/>
          <w:color w:val="auto"/>
          <w:sz w:val="32"/>
          <w:szCs w:val="32"/>
          <w:lang w:eastAsia="zh-CN"/>
        </w:rPr>
        <w:t>、</w:t>
      </w:r>
      <w:r>
        <w:rPr>
          <w:rFonts w:hint="eastAsia" w:eastAsia="仿宋_GB2312"/>
          <w:color w:val="auto"/>
          <w:sz w:val="32"/>
          <w:szCs w:val="32"/>
        </w:rPr>
        <w:t>装配式等新型建筑工业化建造方式以及</w:t>
      </w:r>
      <w:r>
        <w:rPr>
          <w:rFonts w:hint="eastAsia" w:eastAsia="仿宋_GB2312"/>
          <w:color w:val="auto"/>
          <w:sz w:val="32"/>
          <w:szCs w:val="32"/>
          <w:lang w:val="en-US" w:eastAsia="zh-CN"/>
        </w:rPr>
        <w:t>建筑废弃物减排目标</w:t>
      </w:r>
      <w:r>
        <w:rPr>
          <w:rFonts w:hint="eastAsia" w:eastAsia="仿宋_GB2312"/>
          <w:color w:val="auto"/>
          <w:sz w:val="32"/>
          <w:szCs w:val="32"/>
        </w:rPr>
        <w:t>等内容</w:t>
      </w:r>
      <w:r>
        <w:rPr>
          <w:rFonts w:hint="eastAsia" w:ascii="仿宋_GB2312" w:hAnsi="仿宋_GB2312" w:eastAsia="仿宋_GB2312" w:cs="仿宋_GB2312"/>
          <w:color w:val="auto"/>
          <w:sz w:val="32"/>
          <w:szCs w:val="32"/>
          <w:highlight w:val="none"/>
          <w:lang w:val="en-US" w:eastAsia="zh-CN"/>
        </w:rPr>
        <w:t>，</w:t>
      </w:r>
      <w:r>
        <w:rPr>
          <w:rFonts w:hint="eastAsia" w:eastAsia="仿宋_GB2312"/>
          <w:color w:val="auto"/>
          <w:sz w:val="32"/>
          <w:szCs w:val="32"/>
        </w:rPr>
        <w:t>并</w:t>
      </w:r>
      <w:r>
        <w:rPr>
          <w:rFonts w:hint="eastAsia" w:eastAsia="仿宋_GB2312"/>
          <w:color w:val="auto"/>
          <w:sz w:val="32"/>
          <w:szCs w:val="32"/>
          <w:lang w:val="en-US" w:eastAsia="zh-CN"/>
        </w:rPr>
        <w:t>按规定</w:t>
      </w:r>
      <w:r>
        <w:rPr>
          <w:rFonts w:hint="eastAsia" w:ascii="仿宋_GB2312" w:hAnsi="仿宋_GB2312" w:eastAsia="仿宋_GB2312" w:cs="仿宋_GB2312"/>
          <w:color w:val="auto"/>
          <w:sz w:val="32"/>
          <w:szCs w:val="32"/>
          <w:highlight w:val="none"/>
          <w:lang w:val="en-US" w:eastAsia="zh-CN"/>
        </w:rPr>
        <w:t>开展设计、施工、监理等</w:t>
      </w:r>
      <w:r>
        <w:rPr>
          <w:rFonts w:hint="eastAsia" w:ascii="仿宋_GB2312" w:hAnsi="仿宋_GB2312" w:eastAsia="仿宋_GB2312" w:cs="仿宋_GB2312"/>
          <w:color w:val="auto"/>
          <w:sz w:val="32"/>
          <w:szCs w:val="32"/>
          <w:highlight w:val="none"/>
          <w:lang w:eastAsia="zh-CN"/>
        </w:rPr>
        <w:t>活动</w:t>
      </w:r>
      <w:r>
        <w:rPr>
          <w:rFonts w:hint="eastAsia" w:ascii="仿宋_GB2312" w:hAnsi="仿宋_GB2312" w:eastAsia="仿宋_GB2312" w:cs="仿宋_GB2312"/>
          <w:color w:val="auto"/>
          <w:sz w:val="32"/>
          <w:szCs w:val="32"/>
          <w:highlight w:val="none"/>
          <w:lang w:val="en-US" w:eastAsia="zh-CN"/>
        </w:rPr>
        <w:t>。</w:t>
      </w:r>
      <w:r>
        <w:rPr>
          <w:rFonts w:hint="eastAsia" w:eastAsia="仿宋_GB2312"/>
          <w:color w:val="auto"/>
          <w:sz w:val="32"/>
          <w:szCs w:val="32"/>
          <w:lang w:val="en-US" w:eastAsia="zh-CN"/>
        </w:rPr>
        <w:t>在建筑施工图设计文件完成之后，</w:t>
      </w:r>
      <w:r>
        <w:rPr>
          <w:rFonts w:eastAsia="仿宋_GB2312"/>
          <w:color w:val="auto"/>
          <w:sz w:val="32"/>
          <w:szCs w:val="32"/>
        </w:rPr>
        <w:t>建设单位</w:t>
      </w:r>
      <w:r>
        <w:rPr>
          <w:rFonts w:hint="eastAsia" w:eastAsia="仿宋_GB2312"/>
          <w:color w:val="auto"/>
          <w:sz w:val="32"/>
          <w:szCs w:val="32"/>
          <w:lang w:val="en-US" w:eastAsia="zh-CN"/>
        </w:rPr>
        <w:t>应当对绿色建筑等级及技术措施进行预评价；在施工过程中</w:t>
      </w:r>
      <w:r>
        <w:rPr>
          <w:rFonts w:hint="default" w:ascii="Calibri" w:eastAsia="仿宋_GB2312"/>
          <w:color w:val="auto"/>
          <w:sz w:val="32"/>
          <w:szCs w:val="32"/>
          <w:lang w:val="en-US" w:eastAsia="zh-CN"/>
        </w:rPr>
        <w:t>，</w:t>
      </w:r>
      <w:r>
        <w:rPr>
          <w:rFonts w:hint="default" w:ascii="Calibri" w:hAnsi="Times New Roman" w:eastAsia="仿宋_GB2312" w:cs="Times New Roman"/>
          <w:b w:val="0"/>
          <w:bCs w:val="0"/>
          <w:color w:val="auto"/>
          <w:kern w:val="21"/>
          <w:sz w:val="32"/>
          <w:szCs w:val="32"/>
          <w:lang w:val="en-US" w:eastAsia="zh-CN" w:bidi="ar-SA"/>
        </w:rPr>
        <w:t>施工单位应当在施工现场醒目位置公示绿色建筑等级及主要技术措施；</w:t>
      </w:r>
      <w:r>
        <w:rPr>
          <w:rFonts w:hint="eastAsia" w:eastAsia="仿宋_GB2312"/>
          <w:color w:val="auto"/>
          <w:sz w:val="32"/>
          <w:szCs w:val="32"/>
          <w:lang w:val="en-US" w:eastAsia="zh-CN"/>
        </w:rPr>
        <w:t>在竣工验收前，</w:t>
      </w:r>
      <w:r>
        <w:rPr>
          <w:rFonts w:eastAsia="仿宋_GB2312"/>
          <w:color w:val="auto"/>
          <w:sz w:val="32"/>
          <w:szCs w:val="32"/>
        </w:rPr>
        <w:t>建设单位</w:t>
      </w:r>
      <w:r>
        <w:rPr>
          <w:rFonts w:hint="eastAsia" w:eastAsia="仿宋_GB2312"/>
          <w:color w:val="auto"/>
          <w:sz w:val="32"/>
          <w:szCs w:val="32"/>
          <w:lang w:val="en-US" w:eastAsia="zh-CN"/>
        </w:rPr>
        <w:t>应当</w:t>
      </w:r>
      <w:r>
        <w:rPr>
          <w:rFonts w:ascii="Calibri" w:eastAsia="仿宋_GB2312"/>
          <w:color w:val="auto"/>
          <w:sz w:val="32"/>
          <w:szCs w:val="32"/>
        </w:rPr>
        <w:t>委托具有资质的第三方</w:t>
      </w:r>
      <w:r>
        <w:rPr>
          <w:rFonts w:hint="eastAsia" w:ascii="Calibri" w:eastAsia="仿宋_GB2312"/>
          <w:color w:val="auto"/>
          <w:sz w:val="32"/>
          <w:szCs w:val="32"/>
        </w:rPr>
        <w:t>评估</w:t>
      </w:r>
      <w:r>
        <w:rPr>
          <w:rFonts w:ascii="Calibri" w:eastAsia="仿宋_GB2312"/>
          <w:color w:val="auto"/>
          <w:sz w:val="32"/>
          <w:szCs w:val="32"/>
        </w:rPr>
        <w:t>机构对绿色建筑</w:t>
      </w:r>
      <w:r>
        <w:rPr>
          <w:rFonts w:hint="eastAsia" w:ascii="Calibri" w:eastAsia="仿宋_GB2312"/>
          <w:color w:val="auto"/>
          <w:sz w:val="32"/>
          <w:szCs w:val="32"/>
        </w:rPr>
        <w:t>等级进行符合性评估</w:t>
      </w:r>
      <w:r>
        <w:rPr>
          <w:rFonts w:ascii="Calibri" w:eastAsia="仿宋_GB2312"/>
          <w:color w:val="auto"/>
          <w:sz w:val="32"/>
          <w:szCs w:val="32"/>
        </w:rPr>
        <w:t>，</w:t>
      </w:r>
      <w:r>
        <w:rPr>
          <w:rFonts w:eastAsia="仿宋_GB2312"/>
          <w:color w:val="auto"/>
          <w:sz w:val="32"/>
          <w:szCs w:val="32"/>
        </w:rPr>
        <w:t>组织设计、施工、监理等有关单位进行绿色建筑专项验收</w:t>
      </w:r>
      <w:r>
        <w:rPr>
          <w:rFonts w:hint="eastAsia" w:eastAsia="仿宋_GB2312"/>
          <w:color w:val="auto"/>
          <w:sz w:val="32"/>
          <w:szCs w:val="32"/>
          <w:lang w:eastAsia="zh-CN"/>
        </w:rPr>
        <w:t>，</w:t>
      </w:r>
      <w:r>
        <w:rPr>
          <w:rFonts w:hint="eastAsia" w:ascii="Calibri" w:eastAsia="仿宋_GB2312"/>
          <w:color w:val="auto"/>
          <w:sz w:val="32"/>
          <w:szCs w:val="32"/>
          <w:lang w:val="en-US" w:eastAsia="zh-CN"/>
        </w:rPr>
        <w:t>并</w:t>
      </w:r>
      <w:r>
        <w:rPr>
          <w:rFonts w:eastAsia="仿宋_GB2312"/>
          <w:color w:val="auto"/>
          <w:sz w:val="32"/>
          <w:szCs w:val="32"/>
        </w:rPr>
        <w:t>出具专项验收报告。不符合</w:t>
      </w:r>
      <w:r>
        <w:rPr>
          <w:rFonts w:hint="eastAsia" w:eastAsia="仿宋_GB2312"/>
          <w:color w:val="auto"/>
          <w:sz w:val="32"/>
          <w:szCs w:val="32"/>
          <w:lang w:val="en-US" w:eastAsia="zh-CN"/>
        </w:rPr>
        <w:t>工程建设标准、</w:t>
      </w:r>
      <w:r>
        <w:rPr>
          <w:rFonts w:eastAsia="仿宋_GB2312"/>
          <w:color w:val="auto"/>
          <w:sz w:val="32"/>
          <w:szCs w:val="32"/>
        </w:rPr>
        <w:t>施工图设计文件和</w:t>
      </w:r>
      <w:r>
        <w:rPr>
          <w:rFonts w:hint="eastAsia" w:eastAsia="仿宋_GB2312"/>
          <w:color w:val="auto"/>
          <w:sz w:val="32"/>
          <w:szCs w:val="32"/>
        </w:rPr>
        <w:t>绿色专篇</w:t>
      </w:r>
      <w:r>
        <w:rPr>
          <w:rFonts w:eastAsia="仿宋_GB2312"/>
          <w:color w:val="auto"/>
          <w:sz w:val="32"/>
          <w:szCs w:val="32"/>
        </w:rPr>
        <w:t>要求的，不得出具专项验收</w:t>
      </w:r>
      <w:r>
        <w:rPr>
          <w:rFonts w:hint="eastAsia" w:eastAsia="仿宋_GB2312"/>
          <w:color w:val="auto"/>
          <w:sz w:val="32"/>
          <w:szCs w:val="32"/>
        </w:rPr>
        <w:t>合格</w:t>
      </w:r>
      <w:r>
        <w:rPr>
          <w:rFonts w:eastAsia="仿宋_GB2312"/>
          <w:color w:val="auto"/>
          <w:sz w:val="32"/>
          <w:szCs w:val="32"/>
        </w:rPr>
        <w:t>报告，不得通过竣工验收</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工程质量监管机构</w:t>
      </w:r>
      <w:r>
        <w:rPr>
          <w:rFonts w:hint="eastAsia" w:ascii="仿宋_GB2312" w:hAnsi="仿宋_GB2312" w:eastAsia="仿宋_GB2312" w:cs="仿宋_GB2312"/>
          <w:color w:val="auto"/>
          <w:sz w:val="32"/>
          <w:szCs w:val="32"/>
          <w:highlight w:val="none"/>
        </w:rPr>
        <w:t>要</w:t>
      </w:r>
      <w:r>
        <w:rPr>
          <w:rFonts w:hint="eastAsia" w:ascii="仿宋_GB2312" w:hAnsi="仿宋_GB2312" w:eastAsia="仿宋_GB2312" w:cs="仿宋_GB2312"/>
          <w:color w:val="auto"/>
          <w:sz w:val="32"/>
          <w:szCs w:val="32"/>
          <w:highlight w:val="none"/>
          <w:lang w:val="en-US" w:eastAsia="zh-CN"/>
        </w:rPr>
        <w:t>强化项目设计、施工过程的监督管理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w:t>
      </w:r>
      <w:r>
        <w:rPr>
          <w:rFonts w:hint="eastAsia" w:eastAsia="仿宋_GB2312"/>
          <w:color w:val="auto"/>
          <w:sz w:val="32"/>
          <w:szCs w:val="32"/>
        </w:rPr>
        <w:t>对建设单位的绿色建筑专项验收情况进行抽查检查</w:t>
      </w:r>
      <w:r>
        <w:rPr>
          <w:rFonts w:hint="eastAsia" w:ascii="仿宋_GB2312" w:hAnsi="仿宋_GB2312" w:eastAsia="仿宋_GB2312" w:cs="仿宋_GB2312"/>
          <w:color w:val="auto"/>
          <w:sz w:val="32"/>
          <w:szCs w:val="32"/>
          <w:highlight w:val="none"/>
        </w:rPr>
        <w:t>。</w:t>
      </w:r>
    </w:p>
    <w:p>
      <w:pPr>
        <w:overflowPunct w:val="0"/>
        <w:snapToGrid w:val="0"/>
        <w:spacing w:line="560" w:lineRule="exact"/>
        <w:ind w:firstLine="640" w:firstLineChars="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6.建立使用者监督机制。</w:t>
      </w:r>
      <w:r>
        <w:rPr>
          <w:rFonts w:hint="eastAsia" w:ascii="仿宋_GB2312" w:hAnsi="仿宋_GB2312" w:eastAsia="仿宋_GB2312" w:cs="仿宋_GB2312"/>
          <w:color w:val="auto"/>
          <w:sz w:val="32"/>
          <w:szCs w:val="32"/>
          <w:highlight w:val="none"/>
          <w:lang w:eastAsia="zh-CN"/>
        </w:rPr>
        <w:t>房地产开发商应当在售楼现场明示绿色建筑等级，</w:t>
      </w:r>
      <w:r>
        <w:rPr>
          <w:rFonts w:hint="eastAsia" w:ascii="仿宋_GB2312" w:hAnsi="仿宋_GB2312" w:eastAsia="仿宋_GB2312" w:cs="仿宋_GB2312"/>
          <w:color w:val="auto"/>
          <w:sz w:val="32"/>
          <w:szCs w:val="32"/>
          <w:highlight w:val="none"/>
        </w:rPr>
        <w:t>将住宅的绿色建筑等级、绿色性能相关指标纳入商品房买卖合同、</w:t>
      </w:r>
      <w:r>
        <w:rPr>
          <w:rFonts w:hint="eastAsia" w:ascii="仿宋_GB2312" w:hAnsi="仿宋_GB2312" w:eastAsia="仿宋_GB2312" w:cs="仿宋_GB2312"/>
          <w:color w:val="auto"/>
          <w:sz w:val="32"/>
          <w:szCs w:val="32"/>
          <w:highlight w:val="none"/>
          <w:lang w:eastAsia="zh-CN"/>
        </w:rPr>
        <w:t>商品房</w:t>
      </w:r>
      <w:r>
        <w:rPr>
          <w:rFonts w:hint="eastAsia" w:ascii="仿宋_GB2312" w:hAnsi="仿宋_GB2312" w:eastAsia="仿宋_GB2312" w:cs="仿宋_GB2312"/>
          <w:color w:val="auto"/>
          <w:sz w:val="32"/>
          <w:szCs w:val="32"/>
          <w:highlight w:val="none"/>
        </w:rPr>
        <w:t>质量保证书和</w:t>
      </w:r>
      <w:r>
        <w:rPr>
          <w:rFonts w:hint="eastAsia" w:ascii="仿宋_GB2312" w:hAnsi="仿宋_GB2312" w:eastAsia="仿宋_GB2312" w:cs="仿宋_GB2312"/>
          <w:color w:val="auto"/>
          <w:sz w:val="32"/>
          <w:szCs w:val="32"/>
          <w:highlight w:val="none"/>
          <w:lang w:eastAsia="zh-CN"/>
        </w:rPr>
        <w:t>商品房</w:t>
      </w:r>
      <w:r>
        <w:rPr>
          <w:rFonts w:hint="eastAsia" w:ascii="仿宋_GB2312" w:hAnsi="仿宋_GB2312" w:eastAsia="仿宋_GB2312" w:cs="仿宋_GB2312"/>
          <w:color w:val="auto"/>
          <w:sz w:val="32"/>
          <w:szCs w:val="32"/>
          <w:highlight w:val="none"/>
        </w:rPr>
        <w:t>使用说明书，</w:t>
      </w:r>
      <w:r>
        <w:rPr>
          <w:rFonts w:hint="eastAsia" w:ascii="仿宋_GB2312" w:hAnsi="仿宋_GB2312" w:eastAsia="仿宋_GB2312" w:cs="仿宋_GB2312"/>
          <w:color w:val="auto"/>
          <w:sz w:val="32"/>
          <w:szCs w:val="32"/>
          <w:highlight w:val="none"/>
          <w:lang w:eastAsia="zh-CN"/>
        </w:rPr>
        <w:t>明确质量保修责任和纠纷处理方式，</w:t>
      </w:r>
      <w:r>
        <w:rPr>
          <w:rFonts w:hint="eastAsia" w:ascii="仿宋_GB2312" w:hAnsi="仿宋_GB2312" w:eastAsia="仿宋_GB2312" w:cs="仿宋_GB2312"/>
          <w:color w:val="auto"/>
          <w:sz w:val="32"/>
          <w:szCs w:val="32"/>
          <w:highlight w:val="none"/>
          <w:lang w:val="en-US" w:eastAsia="zh-CN"/>
        </w:rPr>
        <w:t>并</w:t>
      </w:r>
      <w:r>
        <w:rPr>
          <w:rFonts w:eastAsia="仿宋_GB2312"/>
          <w:color w:val="auto"/>
          <w:sz w:val="32"/>
          <w:szCs w:val="32"/>
        </w:rPr>
        <w:t>在房屋交付或移交使用时</w:t>
      </w:r>
      <w:r>
        <w:rPr>
          <w:rFonts w:hint="eastAsia" w:eastAsia="仿宋_GB2312"/>
          <w:color w:val="auto"/>
          <w:sz w:val="32"/>
          <w:szCs w:val="32"/>
        </w:rPr>
        <w:t>向购房人提供验房指南，配合购房人做好验房工作。</w:t>
      </w:r>
      <w:r>
        <w:rPr>
          <w:rFonts w:hint="eastAsia" w:ascii="仿宋_GB2312" w:hAnsi="仿宋_GB2312" w:eastAsia="仿宋_GB2312" w:cs="仿宋_GB2312"/>
          <w:color w:val="auto"/>
          <w:sz w:val="32"/>
          <w:szCs w:val="32"/>
          <w:highlight w:val="none"/>
          <w:lang w:eastAsia="zh-CN"/>
        </w:rPr>
        <w:t>鼓励保险公司为绿色建筑提供工程质量</w:t>
      </w:r>
      <w:r>
        <w:rPr>
          <w:rFonts w:hint="eastAsia" w:ascii="仿宋_GB2312" w:hAnsi="仿宋_GB2312" w:eastAsia="仿宋_GB2312" w:cs="仿宋_GB2312"/>
          <w:color w:val="auto"/>
          <w:sz w:val="32"/>
          <w:szCs w:val="32"/>
          <w:highlight w:val="none"/>
          <w:lang w:val="en-US" w:eastAsia="zh-CN"/>
        </w:rPr>
        <w:t>潜在缺陷</w:t>
      </w:r>
      <w:r>
        <w:rPr>
          <w:rFonts w:hint="eastAsia" w:ascii="仿宋_GB2312" w:hAnsi="仿宋_GB2312" w:eastAsia="仿宋_GB2312" w:cs="仿宋_GB2312"/>
          <w:color w:val="auto"/>
          <w:sz w:val="32"/>
          <w:szCs w:val="32"/>
          <w:highlight w:val="none"/>
          <w:lang w:eastAsia="zh-CN"/>
        </w:rPr>
        <w:t>保险，</w:t>
      </w:r>
      <w:r>
        <w:rPr>
          <w:rFonts w:hint="eastAsia" w:ascii="仿宋_GB2312" w:hAnsi="仿宋_GB2312" w:eastAsia="仿宋_GB2312" w:cs="仿宋_GB2312"/>
          <w:color w:val="auto"/>
          <w:sz w:val="32"/>
          <w:szCs w:val="32"/>
          <w:highlight w:val="none"/>
          <w:lang w:val="en-US" w:eastAsia="zh-CN"/>
        </w:rPr>
        <w:t>提升</w:t>
      </w:r>
      <w:r>
        <w:rPr>
          <w:rFonts w:hint="eastAsia" w:ascii="仿宋_GB2312" w:hAnsi="仿宋_GB2312" w:eastAsia="仿宋_GB2312" w:cs="仿宋_GB2312"/>
          <w:color w:val="auto"/>
          <w:sz w:val="32"/>
          <w:szCs w:val="32"/>
          <w:highlight w:val="none"/>
        </w:rPr>
        <w:t>第三方技术仲裁能力</w:t>
      </w:r>
      <w:r>
        <w:rPr>
          <w:rFonts w:hint="eastAsia" w:ascii="仿宋_GB2312" w:hAnsi="仿宋_GB2312" w:eastAsia="仿宋_GB2312" w:cs="仿宋_GB2312"/>
          <w:color w:val="auto"/>
          <w:sz w:val="32"/>
          <w:szCs w:val="32"/>
          <w:highlight w:val="none"/>
          <w:lang w:eastAsia="zh-CN"/>
        </w:rPr>
        <w:t>，逐步完善工程质量保证和保修机制。</w:t>
      </w:r>
    </w:p>
    <w:p>
      <w:pPr>
        <w:numPr>
          <w:ilvl w:val="-1"/>
          <w:numId w:val="0"/>
        </w:numPr>
        <w:snapToGrid w:val="0"/>
        <w:spacing w:line="560" w:lineRule="exact"/>
        <w:ind w:firstLine="643"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7.强化绿色建筑运行管理。</w:t>
      </w:r>
      <w:r>
        <w:rPr>
          <w:rFonts w:hint="eastAsia" w:ascii="仿宋_GB2312" w:hAnsi="仿宋_GB2312" w:eastAsia="仿宋_GB2312" w:cs="仿宋_GB2312"/>
          <w:color w:val="auto"/>
          <w:sz w:val="32"/>
          <w:szCs w:val="32"/>
          <w:highlight w:val="none"/>
        </w:rPr>
        <w:t>落实</w:t>
      </w:r>
      <w:r>
        <w:rPr>
          <w:rFonts w:hint="eastAsia" w:ascii="仿宋_GB2312" w:hAnsi="仿宋_GB2312" w:eastAsia="仿宋_GB2312" w:cs="仿宋_GB2312"/>
          <w:color w:val="auto"/>
          <w:sz w:val="32"/>
          <w:szCs w:val="32"/>
          <w:highlight w:val="none"/>
          <w:lang w:val="en-US" w:eastAsia="zh-CN"/>
        </w:rPr>
        <w:t>绿色建筑</w:t>
      </w:r>
      <w:r>
        <w:rPr>
          <w:rFonts w:hint="eastAsia" w:ascii="仿宋_GB2312" w:hAnsi="仿宋_GB2312" w:eastAsia="仿宋_GB2312" w:cs="仿宋_GB2312"/>
          <w:color w:val="auto"/>
          <w:sz w:val="32"/>
          <w:szCs w:val="32"/>
          <w:highlight w:val="none"/>
        </w:rPr>
        <w:t>所有权人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使用权人对绿色建筑设施设备保养</w:t>
      </w:r>
      <w:r>
        <w:rPr>
          <w:rFonts w:hint="eastAsia" w:ascii="仿宋_GB2312" w:hAnsi="仿宋_GB2312" w:eastAsia="仿宋_GB2312" w:cs="仿宋_GB2312"/>
          <w:color w:val="auto"/>
          <w:sz w:val="32"/>
          <w:szCs w:val="32"/>
          <w:highlight w:val="none"/>
          <w:lang w:val="en-US" w:eastAsia="zh-CN"/>
        </w:rPr>
        <w:t>和运维</w:t>
      </w:r>
      <w:r>
        <w:rPr>
          <w:rFonts w:hint="eastAsia" w:ascii="仿宋_GB2312" w:hAnsi="仿宋_GB2312" w:eastAsia="仿宋_GB2312" w:cs="仿宋_GB2312"/>
          <w:color w:val="auto"/>
          <w:sz w:val="32"/>
          <w:szCs w:val="32"/>
          <w:highlight w:val="none"/>
        </w:rPr>
        <w:t>管理</w:t>
      </w:r>
      <w:r>
        <w:rPr>
          <w:rFonts w:hint="eastAsia" w:ascii="仿宋_GB2312" w:hAnsi="仿宋_GB2312" w:eastAsia="仿宋_GB2312" w:cs="仿宋_GB2312"/>
          <w:color w:val="auto"/>
          <w:sz w:val="32"/>
          <w:szCs w:val="32"/>
          <w:highlight w:val="none"/>
          <w:lang w:val="en-US" w:eastAsia="zh-CN"/>
        </w:rPr>
        <w:t>的主体责任，加强建筑物业管理，保障绿色建筑运行满足要求。</w:t>
      </w:r>
      <w:r>
        <w:rPr>
          <w:rFonts w:hint="eastAsia" w:ascii="仿宋_GB2312" w:hAnsi="仿宋_GB2312" w:eastAsia="仿宋_GB2312" w:cs="仿宋_GB2312"/>
          <w:color w:val="auto"/>
          <w:sz w:val="32"/>
          <w:szCs w:val="32"/>
          <w:highlight w:val="none"/>
        </w:rPr>
        <w:t>推行绿色物业管理模式，</w:t>
      </w:r>
      <w:r>
        <w:rPr>
          <w:rFonts w:hint="eastAsia" w:ascii="仿宋_GB2312" w:hAnsi="仿宋_GB2312" w:eastAsia="仿宋_GB2312" w:cs="仿宋_GB2312"/>
          <w:color w:val="auto"/>
          <w:sz w:val="32"/>
          <w:szCs w:val="32"/>
          <w:highlight w:val="none"/>
          <w:lang w:val="en-US" w:eastAsia="zh-CN"/>
        </w:rPr>
        <w:t>通过</w:t>
      </w:r>
      <w:r>
        <w:rPr>
          <w:rFonts w:hint="eastAsia" w:ascii="仿宋_GB2312" w:hAnsi="仿宋_GB2312" w:eastAsia="仿宋_GB2312" w:cs="仿宋_GB2312"/>
          <w:color w:val="auto"/>
          <w:sz w:val="32"/>
          <w:szCs w:val="32"/>
          <w:highlight w:val="none"/>
        </w:rPr>
        <w:t>采用先进技术、科学管理和行为引导等措施</w:t>
      </w:r>
      <w:r>
        <w:rPr>
          <w:rFonts w:hint="eastAsia" w:ascii="仿宋_GB2312" w:hAnsi="仿宋_GB2312" w:eastAsia="仿宋_GB2312" w:cs="仿宋_GB2312"/>
          <w:color w:val="auto"/>
          <w:sz w:val="32"/>
          <w:szCs w:val="32"/>
          <w:highlight w:val="none"/>
          <w:lang w:val="en-US" w:eastAsia="zh-CN"/>
        </w:rPr>
        <w:t>，不断优化提升运营水平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鼓励</w:t>
      </w:r>
      <w:r>
        <w:rPr>
          <w:rFonts w:hint="eastAsia" w:ascii="仿宋_GB2312" w:hAnsi="仿宋_GB2312" w:eastAsia="仿宋_GB2312" w:cs="仿宋_GB2312"/>
          <w:color w:val="auto"/>
          <w:sz w:val="32"/>
          <w:szCs w:val="32"/>
          <w:highlight w:val="none"/>
        </w:rPr>
        <w:t>合同能源管理、合同节水管理，</w:t>
      </w:r>
      <w:r>
        <w:rPr>
          <w:rFonts w:hint="eastAsia" w:ascii="仿宋_GB2312" w:hAnsi="仿宋_GB2312" w:eastAsia="仿宋_GB2312" w:cs="仿宋_GB2312"/>
          <w:color w:val="auto"/>
          <w:sz w:val="32"/>
          <w:szCs w:val="32"/>
          <w:highlight w:val="none"/>
          <w:lang w:val="en-US" w:eastAsia="zh-CN"/>
        </w:rPr>
        <w:t>委托专业机构对机电设备进行调试和运维。推行能效测评制度，对建筑物能源利用效率进行评估和调适。建立城市建筑用水、用电、用气等数据共享机制，加大</w:t>
      </w:r>
      <w:r>
        <w:rPr>
          <w:rFonts w:hint="eastAsia" w:ascii="仿宋_GB2312" w:hAnsi="仿宋_GB2312" w:eastAsia="仿宋_GB2312" w:cs="仿宋_GB2312"/>
          <w:color w:val="auto"/>
          <w:sz w:val="32"/>
          <w:szCs w:val="32"/>
          <w:highlight w:val="none"/>
        </w:rPr>
        <w:t>公共建筑能耗数据采集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监测、公示力度，加强用能数据诊断、分析和应用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建立健全建筑用能管理制度，实行能耗限额管理,对超过能耗限额的建筑，出台限制用电政策，并强制</w:t>
      </w:r>
      <w:r>
        <w:rPr>
          <w:rFonts w:hint="eastAsia" w:ascii="仿宋_GB2312" w:hAnsi="仿宋_GB2312" w:eastAsia="仿宋_GB2312" w:cs="仿宋_GB2312"/>
          <w:color w:val="auto"/>
          <w:sz w:val="32"/>
          <w:szCs w:val="32"/>
          <w:highlight w:val="none"/>
        </w:rPr>
        <w:t>开展能源审计。</w:t>
      </w:r>
      <w:r>
        <w:rPr>
          <w:rFonts w:hint="eastAsia" w:ascii="仿宋_GB2312" w:hAnsi="仿宋_GB2312" w:eastAsia="仿宋_GB2312" w:cs="仿宋_GB2312"/>
          <w:color w:val="auto"/>
          <w:sz w:val="32"/>
          <w:szCs w:val="32"/>
          <w:highlight w:val="none"/>
          <w:lang w:val="en-US" w:eastAsia="zh-CN"/>
        </w:rPr>
        <w:t>深入开展节能监察，严控重点用能单位能耗总量和强度。</w:t>
      </w:r>
      <w:r>
        <w:rPr>
          <w:rFonts w:hint="eastAsia" w:ascii="仿宋_GB2312" w:hAnsi="仿宋_GB2312" w:eastAsia="仿宋_GB2312" w:cs="仿宋_GB2312"/>
          <w:color w:val="auto"/>
          <w:sz w:val="32"/>
          <w:szCs w:val="32"/>
          <w:highlight w:val="none"/>
        </w:rPr>
        <w:t>政府公共机构带头开展绿色运行并取得标识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创建节约型机关，</w:t>
      </w:r>
      <w:r>
        <w:rPr>
          <w:rFonts w:hint="eastAsia" w:ascii="仿宋_GB2312" w:hAnsi="仿宋_GB2312" w:eastAsia="仿宋_GB2312" w:cs="仿宋_GB2312"/>
          <w:color w:val="auto"/>
          <w:sz w:val="32"/>
          <w:szCs w:val="32"/>
          <w:highlight w:val="none"/>
        </w:rPr>
        <w:t>发挥公共机构的引领辐射作用。</w:t>
      </w:r>
    </w:p>
    <w:p>
      <w:pPr>
        <w:snapToGrid w:val="0"/>
        <w:spacing w:line="560" w:lineRule="exact"/>
        <w:ind w:firstLine="643"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8.规范绿色建筑标识管理。</w:t>
      </w:r>
      <w:r>
        <w:rPr>
          <w:rFonts w:hint="eastAsia" w:ascii="仿宋_GB2312" w:hAnsi="仿宋_GB2312" w:eastAsia="仿宋_GB2312" w:cs="仿宋_GB2312"/>
          <w:color w:val="auto"/>
          <w:sz w:val="32"/>
          <w:szCs w:val="32"/>
          <w:highlight w:val="none"/>
        </w:rPr>
        <w:t>按照国家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广东省和深圳市</w:t>
      </w:r>
      <w:r>
        <w:rPr>
          <w:rFonts w:hint="eastAsia" w:ascii="仿宋_GB2312" w:hAnsi="仿宋_GB2312" w:eastAsia="仿宋_GB2312" w:cs="仿宋_GB2312"/>
          <w:color w:val="auto"/>
          <w:sz w:val="32"/>
          <w:szCs w:val="32"/>
          <w:highlight w:val="none"/>
        </w:rPr>
        <w:t>相关</w:t>
      </w:r>
      <w:r>
        <w:rPr>
          <w:rFonts w:hint="eastAsia" w:ascii="仿宋_GB2312" w:hAnsi="仿宋_GB2312" w:eastAsia="仿宋_GB2312" w:cs="仿宋_GB2312"/>
          <w:color w:val="auto"/>
          <w:sz w:val="32"/>
          <w:szCs w:val="32"/>
          <w:highlight w:val="none"/>
          <w:lang w:val="en-US" w:eastAsia="zh-CN"/>
        </w:rPr>
        <w:t>规定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完善</w:t>
      </w:r>
      <w:r>
        <w:rPr>
          <w:rFonts w:hint="eastAsia" w:ascii="仿宋_GB2312" w:hAnsi="仿宋_GB2312" w:eastAsia="仿宋_GB2312" w:cs="仿宋_GB2312"/>
          <w:color w:val="auto"/>
          <w:sz w:val="32"/>
          <w:szCs w:val="32"/>
          <w:highlight w:val="none"/>
        </w:rPr>
        <w:t>绿色建筑标识申报、审查、公示、撤销</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采取</w:t>
      </w:r>
      <w:r>
        <w:rPr>
          <w:rFonts w:hint="eastAsia" w:ascii="仿宋_GB2312" w:hAnsi="仿宋_GB2312" w:eastAsia="仿宋_GB2312" w:cs="仿宋_GB2312"/>
          <w:color w:val="auto"/>
          <w:sz w:val="32"/>
          <w:szCs w:val="32"/>
          <w:highlight w:val="none"/>
        </w:rPr>
        <w:t>网上申报、网上统一管理，项目信息及时上报</w:t>
      </w:r>
      <w:r>
        <w:rPr>
          <w:rFonts w:hint="eastAsia" w:ascii="仿宋_GB2312" w:hAnsi="仿宋_GB2312" w:eastAsia="仿宋_GB2312" w:cs="仿宋_GB2312"/>
          <w:color w:val="auto"/>
          <w:sz w:val="32"/>
          <w:szCs w:val="32"/>
          <w:highlight w:val="none"/>
          <w:lang w:val="en-US" w:eastAsia="zh-CN"/>
        </w:rPr>
        <w:t>国家和</w:t>
      </w:r>
      <w:r>
        <w:rPr>
          <w:rFonts w:hint="eastAsia" w:ascii="仿宋_GB2312" w:hAnsi="仿宋_GB2312" w:eastAsia="仿宋_GB2312" w:cs="仿宋_GB2312"/>
          <w:color w:val="auto"/>
          <w:sz w:val="32"/>
          <w:szCs w:val="32"/>
          <w:highlight w:val="none"/>
        </w:rPr>
        <w:t>广东省绿色建筑信息平台。</w:t>
      </w:r>
      <w:r>
        <w:rPr>
          <w:rFonts w:hint="eastAsia" w:ascii="仿宋_GB2312" w:hAnsi="仿宋_GB2312" w:eastAsia="仿宋_GB2312" w:cs="仿宋_GB2312"/>
          <w:color w:val="auto"/>
          <w:sz w:val="32"/>
          <w:szCs w:val="32"/>
          <w:highlight w:val="none"/>
          <w:lang w:val="en-US" w:eastAsia="zh-CN"/>
        </w:rPr>
        <w:t>依托</w:t>
      </w:r>
      <w:r>
        <w:rPr>
          <w:rFonts w:hint="eastAsia" w:ascii="仿宋_GB2312" w:hAnsi="仿宋_GB2312" w:eastAsia="仿宋_GB2312" w:cs="仿宋_GB2312"/>
          <w:color w:val="auto"/>
          <w:sz w:val="32"/>
          <w:szCs w:val="32"/>
          <w:highlight w:val="none"/>
        </w:rPr>
        <w:t>“智慧住建综合管理（服务）平台”建设，提高绿色建筑信息</w:t>
      </w:r>
      <w:r>
        <w:rPr>
          <w:rFonts w:hint="eastAsia" w:ascii="仿宋_GB2312" w:hAnsi="仿宋_GB2312" w:eastAsia="仿宋_GB2312" w:cs="仿宋_GB2312"/>
          <w:color w:val="auto"/>
          <w:sz w:val="32"/>
          <w:szCs w:val="32"/>
          <w:highlight w:val="none"/>
          <w:lang w:val="en-US" w:eastAsia="zh-CN"/>
        </w:rPr>
        <w:t>采集、项目信息</w:t>
      </w:r>
      <w:r>
        <w:rPr>
          <w:rFonts w:hint="eastAsia" w:ascii="仿宋_GB2312" w:hAnsi="仿宋_GB2312" w:eastAsia="仿宋_GB2312" w:cs="仿宋_GB2312"/>
          <w:color w:val="auto"/>
          <w:sz w:val="32"/>
          <w:szCs w:val="32"/>
          <w:highlight w:val="none"/>
        </w:rPr>
        <w:t>公开</w:t>
      </w:r>
      <w:r>
        <w:rPr>
          <w:rFonts w:hint="eastAsia" w:ascii="仿宋_GB2312" w:hAnsi="仿宋_GB2312" w:eastAsia="仿宋_GB2312" w:cs="仿宋_GB2312"/>
          <w:color w:val="auto"/>
          <w:sz w:val="32"/>
          <w:szCs w:val="32"/>
          <w:highlight w:val="none"/>
          <w:lang w:val="en-US" w:eastAsia="zh-CN"/>
        </w:rPr>
        <w:t>力度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积极引导项目申报绿色建筑标识。</w:t>
      </w:r>
      <w:r>
        <w:rPr>
          <w:rFonts w:hint="eastAsia" w:ascii="仿宋_GB2312" w:hAnsi="仿宋_GB2312" w:eastAsia="仿宋_GB2312" w:cs="仿宋_GB2312"/>
          <w:color w:val="auto"/>
          <w:sz w:val="32"/>
          <w:szCs w:val="32"/>
          <w:highlight w:val="none"/>
        </w:rPr>
        <w:t>探索建立绿色性能监测和信息披露</w:t>
      </w:r>
      <w:r>
        <w:rPr>
          <w:rFonts w:hint="eastAsia" w:ascii="仿宋_GB2312" w:hAnsi="仿宋_GB2312" w:eastAsia="仿宋_GB2312" w:cs="仿宋_GB2312"/>
          <w:color w:val="auto"/>
          <w:sz w:val="32"/>
          <w:szCs w:val="32"/>
          <w:highlight w:val="none"/>
          <w:lang w:val="en-US" w:eastAsia="zh-CN"/>
        </w:rPr>
        <w:t>机制，</w:t>
      </w:r>
      <w:r>
        <w:rPr>
          <w:rFonts w:hint="eastAsia" w:ascii="仿宋_GB2312" w:hAnsi="仿宋_GB2312" w:eastAsia="仿宋_GB2312" w:cs="仿宋_GB2312"/>
          <w:color w:val="auto"/>
          <w:sz w:val="32"/>
          <w:szCs w:val="32"/>
          <w:highlight w:val="none"/>
          <w:lang w:eastAsia="zh-CN"/>
        </w:rPr>
        <w:t>对绿色建筑实行动态管理</w:t>
      </w:r>
      <w:r>
        <w:rPr>
          <w:rStyle w:val="16"/>
          <w:rFonts w:hint="eastAsia" w:ascii="仿宋_GB2312" w:hAnsi="仿宋_GB2312" w:eastAsia="仿宋_GB2312" w:cs="仿宋_GB2312"/>
          <w:color w:val="auto"/>
          <w:sz w:val="32"/>
          <w:szCs w:val="32"/>
          <w:highlight w:val="none"/>
        </w:rPr>
        <w:t>，</w:t>
      </w:r>
      <w:r>
        <w:rPr>
          <w:rStyle w:val="16"/>
          <w:rFonts w:hint="eastAsia" w:ascii="仿宋_GB2312" w:hAnsi="仿宋_GB2312" w:eastAsia="仿宋_GB2312" w:cs="仿宋_GB2312"/>
          <w:color w:val="auto"/>
          <w:sz w:val="32"/>
          <w:szCs w:val="32"/>
          <w:highlight w:val="none"/>
          <w:lang w:val="en-US" w:eastAsia="zh-CN"/>
        </w:rPr>
        <w:t>对不符合绿色建筑等级要求的，予以限期整改或直接撤销</w:t>
      </w:r>
      <w:r>
        <w:rPr>
          <w:rFonts w:hint="eastAsia" w:ascii="仿宋_GB2312" w:hAnsi="仿宋_GB2312" w:eastAsia="仿宋_GB2312" w:cs="仿宋_GB2312"/>
          <w:color w:val="auto"/>
          <w:sz w:val="32"/>
          <w:szCs w:val="32"/>
          <w:highlight w:val="none"/>
        </w:rPr>
        <w:t>。</w:t>
      </w:r>
    </w:p>
    <w:p>
      <w:pPr>
        <w:snapToGrid w:val="0"/>
        <w:spacing w:line="560" w:lineRule="exact"/>
        <w:ind w:firstLine="640" w:firstLineChars="200"/>
        <w:jc w:val="both"/>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（三）提高绿色建筑质量品质</w:t>
      </w:r>
    </w:p>
    <w:p>
      <w:pPr>
        <w:snapToGrid w:val="0"/>
        <w:spacing w:line="560" w:lineRule="exact"/>
        <w:ind w:firstLine="643"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9.发展高星级绿色建筑。</w:t>
      </w:r>
      <w:r>
        <w:rPr>
          <w:rFonts w:hint="eastAsia" w:ascii="仿宋_GB2312" w:hAnsi="仿宋_GB2312" w:eastAsia="仿宋_GB2312" w:cs="仿宋_GB2312"/>
          <w:color w:val="auto"/>
          <w:sz w:val="32"/>
          <w:szCs w:val="32"/>
          <w:highlight w:val="none"/>
          <w:lang w:val="en-US" w:eastAsia="zh-CN"/>
        </w:rPr>
        <w:t>分阶段、分类型、分区域逐步提高新建建筑的星级等级要求。</w:t>
      </w:r>
      <w:r>
        <w:rPr>
          <w:rFonts w:hint="eastAsia" w:ascii="仿宋_GB2312" w:hAnsi="仿宋_GB2312" w:eastAsia="仿宋_GB2312" w:cs="仿宋_GB2312"/>
          <w:b w:val="0"/>
          <w:bCs w:val="0"/>
          <w:color w:val="auto"/>
          <w:sz w:val="32"/>
          <w:szCs w:val="32"/>
          <w:highlight w:val="none"/>
          <w:lang w:val="en-US" w:eastAsia="zh-CN"/>
        </w:rPr>
        <w:t>新建建筑（含民用和工业建筑）的建设和运行不得低于绿色建筑一星级标准;</w:t>
      </w:r>
      <w:r>
        <w:rPr>
          <w:rFonts w:hint="eastAsia" w:ascii="仿宋_GB2312" w:hAnsi="仿宋_GB2312" w:eastAsia="仿宋_GB2312" w:cs="仿宋_GB2312"/>
          <w:color w:val="auto"/>
          <w:sz w:val="32"/>
          <w:szCs w:val="32"/>
          <w:highlight w:val="none"/>
          <w:lang w:val="en-US" w:eastAsia="zh-CN"/>
        </w:rPr>
        <w:t>大型</w:t>
      </w:r>
      <w:r>
        <w:rPr>
          <w:rFonts w:hint="eastAsia" w:ascii="仿宋_GB2312" w:hAnsi="仿宋_GB2312" w:eastAsia="仿宋_GB2312" w:cs="仿宋_GB2312"/>
          <w:color w:val="auto"/>
          <w:sz w:val="32"/>
          <w:szCs w:val="32"/>
          <w:highlight w:val="none"/>
        </w:rPr>
        <w:t>公共建筑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国家机关办公建筑和10万平方米以上的居住建筑的</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val="en-US" w:eastAsia="zh-CN"/>
        </w:rPr>
        <w:t>和运行不得低于</w:t>
      </w:r>
      <w:r>
        <w:rPr>
          <w:rFonts w:hint="eastAsia" w:ascii="仿宋_GB2312" w:hAnsi="仿宋_GB2312" w:eastAsia="仿宋_GB2312" w:cs="仿宋_GB2312"/>
          <w:color w:val="auto"/>
          <w:sz w:val="32"/>
          <w:szCs w:val="32"/>
          <w:highlight w:val="none"/>
        </w:rPr>
        <w:t>绿色建筑</w:t>
      </w:r>
      <w:r>
        <w:rPr>
          <w:rFonts w:hint="eastAsia" w:ascii="仿宋_GB2312" w:hAnsi="仿宋_GB2312" w:eastAsia="仿宋_GB2312" w:cs="仿宋_GB2312"/>
          <w:color w:val="auto"/>
          <w:sz w:val="32"/>
          <w:szCs w:val="32"/>
          <w:highlight w:val="none"/>
          <w:lang w:val="en-US" w:eastAsia="zh-CN"/>
        </w:rPr>
        <w:t>二星级</w:t>
      </w:r>
      <w:r>
        <w:rPr>
          <w:rFonts w:hint="eastAsia" w:ascii="仿宋_GB2312" w:hAnsi="仿宋_GB2312" w:eastAsia="仿宋_GB2312" w:cs="仿宋_GB2312"/>
          <w:color w:val="auto"/>
          <w:sz w:val="32"/>
          <w:szCs w:val="32"/>
          <w:highlight w:val="none"/>
        </w:rPr>
        <w:t>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落实《住房和城乡建设部　应急管理部关于加强超高层建筑规划建设管理的通知》要求，符合条件的新建超高层建筑不得低于绿色建筑三星级标准。打造一批高星级高品质的绿色建筑聚集区，重点区域新建建筑中高星级绿色建筑占比达到80%。积极开展绿色社区、绿色校园、绿色医院、绿色商场等的建设示范。鼓励以城市新开发城区、城区更新区域为对象，开展绿色生态城区、绿色城市建设试点。</w:t>
      </w:r>
    </w:p>
    <w:bookmarkEnd w:id="3"/>
    <w:p>
      <w:pPr>
        <w:snapToGrid w:val="0"/>
        <w:spacing w:line="560" w:lineRule="exact"/>
        <w:ind w:firstLine="643" w:firstLineChars="200"/>
        <w:jc w:val="both"/>
        <w:rPr>
          <w:rFonts w:hint="eastAsia" w:ascii="仿宋_GB2312" w:hAnsi="仿宋_GB2312" w:eastAsia="仿宋_GB2312" w:cs="仿宋_GB2312"/>
          <w:b/>
          <w:bCs/>
          <w:color w:val="auto"/>
          <w:sz w:val="32"/>
          <w:szCs w:val="32"/>
          <w:highlight w:val="none"/>
          <w:lang w:val="en-US" w:eastAsia="zh-CN"/>
        </w:rPr>
      </w:pPr>
      <w:bookmarkStart w:id="4" w:name="_Toc19796038"/>
      <w:bookmarkEnd w:id="4"/>
      <w:bookmarkStart w:id="5" w:name="_Toc19807597"/>
      <w:bookmarkEnd w:id="5"/>
      <w:bookmarkStart w:id="6" w:name="_Toc22654026"/>
      <w:bookmarkStart w:id="7" w:name="_Toc425951262"/>
      <w:bookmarkStart w:id="8" w:name="_Toc435461658"/>
      <w:bookmarkStart w:id="9" w:name="_Toc435461660"/>
      <w:r>
        <w:rPr>
          <w:rFonts w:hint="eastAsia" w:ascii="仿宋_GB2312" w:hAnsi="仿宋_GB2312" w:eastAsia="仿宋_GB2312" w:cs="仿宋_GB2312"/>
          <w:b/>
          <w:bCs/>
          <w:color w:val="auto"/>
          <w:sz w:val="32"/>
          <w:szCs w:val="32"/>
          <w:highlight w:val="none"/>
          <w:lang w:val="en-US" w:eastAsia="zh-CN"/>
        </w:rPr>
        <w:t>10.提升绿色建筑健康性能。</w:t>
      </w:r>
      <w:r>
        <w:rPr>
          <w:rFonts w:hint="eastAsia" w:ascii="仿宋_GB2312" w:hAnsi="仿宋_GB2312" w:eastAsia="仿宋_GB2312" w:cs="仿宋_GB2312"/>
          <w:color w:val="auto"/>
          <w:sz w:val="32"/>
          <w:szCs w:val="32"/>
          <w:highlight w:val="none"/>
        </w:rPr>
        <w:t>以住宅、学校、医院、养老建筑为重点，提高建筑室内空气、水质、隔声等</w:t>
      </w:r>
      <w:r>
        <w:rPr>
          <w:rFonts w:hint="eastAsia" w:ascii="仿宋_GB2312" w:hAnsi="仿宋_GB2312" w:eastAsia="仿宋_GB2312" w:cs="仿宋_GB2312"/>
          <w:color w:val="auto"/>
          <w:sz w:val="32"/>
          <w:szCs w:val="32"/>
          <w:highlight w:val="none"/>
          <w:lang w:val="en-US" w:eastAsia="zh-CN"/>
        </w:rPr>
        <w:t>绿色</w:t>
      </w:r>
      <w:r>
        <w:rPr>
          <w:rFonts w:hint="eastAsia" w:ascii="仿宋_GB2312" w:hAnsi="仿宋_GB2312" w:eastAsia="仿宋_GB2312" w:cs="仿宋_GB2312"/>
          <w:color w:val="auto"/>
          <w:sz w:val="32"/>
          <w:szCs w:val="32"/>
          <w:highlight w:val="none"/>
        </w:rPr>
        <w:t>性能指标，提升</w:t>
      </w:r>
      <w:r>
        <w:rPr>
          <w:rFonts w:hint="eastAsia" w:ascii="仿宋_GB2312" w:hAnsi="仿宋_GB2312" w:eastAsia="仿宋_GB2312" w:cs="仿宋_GB2312"/>
          <w:color w:val="auto"/>
          <w:sz w:val="32"/>
          <w:szCs w:val="32"/>
          <w:highlight w:val="none"/>
          <w:lang w:val="en-US" w:eastAsia="zh-CN"/>
        </w:rPr>
        <w:t>建筑</w:t>
      </w:r>
      <w:r>
        <w:rPr>
          <w:rFonts w:hint="eastAsia" w:ascii="仿宋_GB2312" w:hAnsi="仿宋_GB2312" w:eastAsia="仿宋_GB2312" w:cs="仿宋_GB2312"/>
          <w:color w:val="auto"/>
          <w:sz w:val="32"/>
          <w:szCs w:val="32"/>
          <w:highlight w:val="none"/>
        </w:rPr>
        <w:t>健康性能。</w:t>
      </w:r>
      <w:r>
        <w:rPr>
          <w:rFonts w:hint="eastAsia" w:ascii="仿宋_GB2312" w:hAnsi="仿宋_GB2312" w:eastAsia="仿宋_GB2312" w:cs="仿宋_GB2312"/>
          <w:color w:val="auto"/>
          <w:sz w:val="32"/>
          <w:szCs w:val="32"/>
        </w:rPr>
        <w:t>新建民用建筑工程竣工验收时，室内空气污染物浓度限量应当不高于国家强制性标准规定的室内空气污染物浓度限量的百分之八十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新建住宅建筑室外与卧室之间、分户墙（楼板）两侧卧室之间的空气声隔声性能以及卧室楼板的撞击声隔声性能应</w:t>
      </w:r>
      <w:r>
        <w:rPr>
          <w:rFonts w:hint="eastAsia" w:ascii="仿宋_GB2312" w:hAnsi="仿宋_GB2312" w:eastAsia="仿宋_GB2312" w:cs="仿宋_GB2312"/>
          <w:color w:val="auto"/>
          <w:sz w:val="32"/>
          <w:szCs w:val="32"/>
          <w:lang w:val="en-US" w:eastAsia="zh-CN"/>
        </w:rPr>
        <w:t>不低于</w:t>
      </w:r>
      <w:r>
        <w:rPr>
          <w:rFonts w:hint="eastAsia" w:ascii="仿宋_GB2312" w:hAnsi="仿宋_GB2312" w:eastAsia="仿宋_GB2312" w:cs="仿宋_GB2312"/>
          <w:color w:val="auto"/>
          <w:sz w:val="32"/>
          <w:szCs w:val="32"/>
        </w:rPr>
        <w:t>现行国家隔声性能标准低限标准限值和高要求标准值的平均值</w:t>
      </w:r>
      <w:r>
        <w:rPr>
          <w:rFonts w:hint="eastAsia" w:ascii="仿宋_GB2312" w:hAnsi="仿宋_GB2312" w:eastAsia="仿宋_GB2312" w:cs="仿宋_GB2312"/>
          <w:color w:val="auto"/>
          <w:sz w:val="32"/>
          <w:szCs w:val="32"/>
          <w:highlight w:val="none"/>
          <w:lang w:val="en-US" w:eastAsia="zh-CN"/>
        </w:rPr>
        <w:t>。</w:t>
      </w:r>
    </w:p>
    <w:p>
      <w:pPr>
        <w:snapToGrid w:val="0"/>
        <w:spacing w:line="560" w:lineRule="exact"/>
        <w:ind w:firstLine="643" w:firstLineChars="200"/>
        <w:jc w:val="both"/>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11.推行既有建筑绿色化改造。</w:t>
      </w:r>
      <w:r>
        <w:rPr>
          <w:rFonts w:hint="eastAsia" w:ascii="仿宋_GB2312" w:hAnsi="仿宋_GB2312" w:eastAsia="仿宋_GB2312" w:cs="仿宋_GB2312"/>
          <w:b w:val="0"/>
          <w:bCs w:val="0"/>
          <w:color w:val="auto"/>
          <w:sz w:val="32"/>
          <w:szCs w:val="32"/>
          <w:highlight w:val="none"/>
          <w:lang w:val="en-US" w:eastAsia="zh-CN"/>
        </w:rPr>
        <w:t>建立健全既有建筑绿色化改造体制机制，</w:t>
      </w:r>
      <w:r>
        <w:rPr>
          <w:rFonts w:hint="eastAsia" w:ascii="仿宋_GB2312" w:hAnsi="仿宋_GB2312" w:eastAsia="仿宋_GB2312" w:cs="仿宋_GB2312"/>
          <w:color w:val="auto"/>
          <w:sz w:val="32"/>
          <w:szCs w:val="32"/>
          <w:highlight w:val="none"/>
        </w:rPr>
        <w:t>合理编制改造计划</w:t>
      </w:r>
      <w:r>
        <w:rPr>
          <w:rFonts w:hint="eastAsia" w:ascii="仿宋_GB2312" w:hAnsi="仿宋_GB2312" w:eastAsia="仿宋_GB2312" w:cs="仿宋_GB2312"/>
          <w:color w:val="auto"/>
          <w:sz w:val="32"/>
          <w:szCs w:val="32"/>
          <w:highlight w:val="none"/>
          <w:lang w:val="en-US" w:eastAsia="zh-CN"/>
        </w:rPr>
        <w:t>，逐步提升既有建筑人居品质。</w:t>
      </w:r>
      <w:r>
        <w:rPr>
          <w:rFonts w:hint="eastAsia" w:ascii="仿宋_GB2312" w:hAnsi="仿宋_GB2312" w:eastAsia="仿宋_GB2312" w:cs="仿宋_GB2312"/>
          <w:color w:val="auto"/>
          <w:sz w:val="32"/>
          <w:szCs w:val="32"/>
          <w:highlight w:val="none"/>
        </w:rPr>
        <w:t>结合</w:t>
      </w:r>
      <w:r>
        <w:rPr>
          <w:rFonts w:hint="eastAsia" w:ascii="仿宋_GB2312" w:hAnsi="仿宋_GB2312" w:eastAsia="仿宋_GB2312" w:cs="仿宋_GB2312"/>
          <w:color w:val="auto"/>
          <w:sz w:val="32"/>
          <w:szCs w:val="32"/>
          <w:highlight w:val="none"/>
          <w:lang w:val="en-US" w:eastAsia="zh-CN"/>
        </w:rPr>
        <w:t>城市更新、</w:t>
      </w:r>
      <w:r>
        <w:rPr>
          <w:rFonts w:hint="eastAsia" w:ascii="仿宋_GB2312" w:hAnsi="仿宋_GB2312" w:eastAsia="仿宋_GB2312" w:cs="仿宋_GB2312"/>
          <w:color w:val="auto"/>
          <w:sz w:val="32"/>
          <w:szCs w:val="32"/>
          <w:highlight w:val="none"/>
        </w:rPr>
        <w:t>老旧小区改造、绿色社区创建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海绵城市建设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抗震加固</w:t>
      </w:r>
      <w:r>
        <w:rPr>
          <w:rFonts w:hint="eastAsia" w:ascii="仿宋_GB2312" w:hAnsi="仿宋_GB2312" w:eastAsia="仿宋_GB2312" w:cs="仿宋_GB2312"/>
          <w:color w:val="auto"/>
          <w:sz w:val="32"/>
          <w:szCs w:val="32"/>
          <w:highlight w:val="none"/>
        </w:rPr>
        <w:t>等工作，</w:t>
      </w:r>
      <w:r>
        <w:rPr>
          <w:rFonts w:hint="eastAsia" w:ascii="仿宋_GB2312" w:hAnsi="仿宋_GB2312" w:eastAsia="仿宋_GB2312" w:cs="仿宋_GB2312"/>
          <w:color w:val="auto"/>
          <w:sz w:val="32"/>
          <w:szCs w:val="32"/>
          <w:highlight w:val="none"/>
          <w:lang w:val="en-US" w:eastAsia="zh-CN"/>
        </w:rPr>
        <w:t>同步</w:t>
      </w:r>
      <w:r>
        <w:rPr>
          <w:rFonts w:hint="eastAsia" w:ascii="仿宋_GB2312" w:hAnsi="仿宋_GB2312" w:eastAsia="仿宋_GB2312" w:cs="仿宋_GB2312"/>
          <w:color w:val="auto"/>
          <w:sz w:val="32"/>
          <w:szCs w:val="32"/>
          <w:highlight w:val="none"/>
        </w:rPr>
        <w:t>推行居住建筑</w:t>
      </w:r>
      <w:r>
        <w:rPr>
          <w:rFonts w:hint="eastAsia" w:ascii="仿宋_GB2312" w:hAnsi="仿宋_GB2312" w:eastAsia="仿宋_GB2312" w:cs="仿宋_GB2312"/>
          <w:color w:val="auto"/>
          <w:sz w:val="32"/>
          <w:szCs w:val="32"/>
          <w:highlight w:val="none"/>
          <w:lang w:val="en-US" w:eastAsia="zh-CN"/>
        </w:rPr>
        <w:t>节能和</w:t>
      </w:r>
      <w:r>
        <w:rPr>
          <w:rFonts w:hint="eastAsia" w:ascii="仿宋_GB2312" w:hAnsi="仿宋_GB2312" w:eastAsia="仿宋_GB2312" w:cs="仿宋_GB2312"/>
          <w:color w:val="auto"/>
          <w:sz w:val="32"/>
          <w:szCs w:val="32"/>
          <w:highlight w:val="none"/>
        </w:rPr>
        <w:t>绿色化改造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结合</w:t>
      </w:r>
      <w:r>
        <w:rPr>
          <w:rFonts w:hint="eastAsia" w:ascii="仿宋_GB2312" w:hAnsi="仿宋_GB2312" w:eastAsia="仿宋_GB2312" w:cs="仿宋_GB2312"/>
          <w:color w:val="auto"/>
          <w:sz w:val="32"/>
          <w:szCs w:val="32"/>
          <w:highlight w:val="none"/>
        </w:rPr>
        <w:t>产业转型、城市公共服务配套和住房保障</w:t>
      </w:r>
      <w:r>
        <w:rPr>
          <w:rFonts w:hint="eastAsia" w:ascii="仿宋_GB2312" w:hAnsi="仿宋_GB2312" w:eastAsia="仿宋_GB2312" w:cs="仿宋_GB2312"/>
          <w:color w:val="auto"/>
          <w:sz w:val="32"/>
          <w:szCs w:val="32"/>
          <w:highlight w:val="none"/>
          <w:lang w:val="en-US" w:eastAsia="zh-CN"/>
        </w:rPr>
        <w:t>需求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推动闲置商业办公建筑和工业厂房功能提升和绿色化改造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推动高能耗、高排放</w:t>
      </w:r>
      <w:r>
        <w:rPr>
          <w:rFonts w:hint="eastAsia" w:ascii="仿宋_GB2312" w:hAnsi="仿宋_GB2312" w:eastAsia="仿宋_GB2312" w:cs="仿宋_GB2312"/>
          <w:color w:val="auto"/>
          <w:sz w:val="32"/>
          <w:szCs w:val="32"/>
          <w:highlight w:val="none"/>
        </w:rPr>
        <w:t>公共建筑</w:t>
      </w: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rPr>
        <w:t>节能改造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连续两年建筑用能指标超过能耗标准约束值30%以上的，应当实施节能改造。高水平通过公共建筑能效提升</w:t>
      </w:r>
      <w:r>
        <w:rPr>
          <w:rFonts w:hint="eastAsia" w:ascii="仿宋_GB2312" w:hAnsi="仿宋_GB2312" w:eastAsia="仿宋_GB2312" w:cs="仿宋_GB2312"/>
          <w:color w:val="auto"/>
          <w:sz w:val="32"/>
          <w:szCs w:val="32"/>
          <w:highlight w:val="none"/>
        </w:rPr>
        <w:t>重点城市建设</w:t>
      </w:r>
      <w:r>
        <w:rPr>
          <w:rFonts w:hint="eastAsia" w:ascii="仿宋_GB2312" w:hAnsi="仿宋_GB2312" w:eastAsia="仿宋_GB2312" w:cs="仿宋_GB2312"/>
          <w:color w:val="auto"/>
          <w:sz w:val="32"/>
          <w:szCs w:val="32"/>
          <w:highlight w:val="none"/>
          <w:lang w:val="en-US" w:eastAsia="zh-CN"/>
        </w:rPr>
        <w:t>评估</w:t>
      </w:r>
      <w:r>
        <w:rPr>
          <w:rFonts w:hint="eastAsia" w:ascii="仿宋_GB2312" w:hAnsi="仿宋_GB2312" w:eastAsia="仿宋_GB2312" w:cs="仿宋_GB2312"/>
          <w:color w:val="auto"/>
          <w:sz w:val="32"/>
          <w:szCs w:val="32"/>
          <w:highlight w:val="none"/>
        </w:rPr>
        <w:t>。</w:t>
      </w:r>
    </w:p>
    <w:bookmarkEnd w:id="6"/>
    <w:p>
      <w:pPr>
        <w:snapToGrid w:val="0"/>
        <w:spacing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（四）推广绿色建筑技术应用。</w:t>
      </w:r>
    </w:p>
    <w:p>
      <w:pPr>
        <w:snapToGrid w:val="0"/>
        <w:spacing w:line="560" w:lineRule="exact"/>
        <w:ind w:firstLine="643" w:firstLineChars="200"/>
        <w:jc w:val="both"/>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12.推广节能和低碳技术。</w:t>
      </w:r>
      <w:r>
        <w:rPr>
          <w:rFonts w:hint="eastAsia" w:ascii="仿宋_GB2312" w:hAnsi="仿宋_GB2312" w:eastAsia="仿宋_GB2312" w:cs="仿宋_GB2312"/>
          <w:b w:val="0"/>
          <w:bCs w:val="0"/>
          <w:color w:val="auto"/>
          <w:sz w:val="32"/>
          <w:szCs w:val="32"/>
          <w:highlight w:val="none"/>
          <w:lang w:val="en-US" w:eastAsia="zh-CN"/>
        </w:rPr>
        <w:t>全面推广</w:t>
      </w:r>
      <w:r>
        <w:rPr>
          <w:rFonts w:hint="eastAsia" w:ascii="仿宋_GB2312" w:hAnsi="仿宋_GB2312" w:eastAsia="仿宋_GB2312" w:cs="仿宋_GB2312"/>
          <w:color w:val="auto"/>
          <w:sz w:val="32"/>
          <w:szCs w:val="32"/>
          <w:highlight w:val="none"/>
          <w:lang w:val="en-US" w:eastAsia="zh-CN"/>
        </w:rPr>
        <w:t>超低能耗建筑，大力发展近零能耗建筑、零碳建筑，组织开展近零碳排放区试点项目建设，</w:t>
      </w:r>
      <w:r>
        <w:rPr>
          <w:rFonts w:hint="eastAsia" w:ascii="仿宋_GB2312" w:hAnsi="仿宋_GB2312" w:eastAsia="仿宋_GB2312" w:cs="仿宋_GB2312"/>
          <w:color w:val="auto"/>
          <w:sz w:val="32"/>
          <w:szCs w:val="32"/>
          <w:highlight w:val="none"/>
        </w:rPr>
        <w:t>建立</w:t>
      </w:r>
      <w:r>
        <w:rPr>
          <w:rFonts w:hint="eastAsia" w:ascii="仿宋_GB2312" w:hAnsi="仿宋_GB2312" w:eastAsia="仿宋_GB2312" w:cs="仿宋_GB2312"/>
          <w:color w:val="auto"/>
          <w:sz w:val="32"/>
          <w:szCs w:val="32"/>
          <w:highlight w:val="none"/>
          <w:lang w:val="en-US" w:eastAsia="zh-CN"/>
        </w:rPr>
        <w:t>完善相关</w:t>
      </w:r>
      <w:r>
        <w:rPr>
          <w:rFonts w:hint="eastAsia" w:ascii="仿宋_GB2312" w:hAnsi="仿宋_GB2312" w:eastAsia="仿宋_GB2312" w:cs="仿宋_GB2312"/>
          <w:color w:val="auto"/>
          <w:sz w:val="32"/>
          <w:szCs w:val="32"/>
          <w:highlight w:val="none"/>
        </w:rPr>
        <w:t>技术体系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w:t>
      </w:r>
      <w:r>
        <w:rPr>
          <w:rFonts w:hint="eastAsia" w:ascii="仿宋_GB2312" w:hAnsi="仿宋_GB2312" w:eastAsia="仿宋_GB2312" w:cs="仿宋_GB2312"/>
          <w:color w:val="auto"/>
          <w:sz w:val="32"/>
          <w:szCs w:val="32"/>
          <w:highlight w:val="none"/>
          <w:lang w:val="en-US" w:eastAsia="zh-CN"/>
        </w:rPr>
        <w:t>和支持</w:t>
      </w:r>
      <w:r>
        <w:rPr>
          <w:rFonts w:hint="eastAsia" w:ascii="仿宋_GB2312" w:hAnsi="仿宋_GB2312" w:eastAsia="仿宋_GB2312" w:cs="仿宋_GB2312"/>
          <w:color w:val="auto"/>
          <w:sz w:val="32"/>
          <w:szCs w:val="32"/>
          <w:highlight w:val="none"/>
        </w:rPr>
        <w:t>开展可再生能源基础研究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应用研究和关键技术研究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加大智能微电网、光储直柔、</w:t>
      </w:r>
      <w:r>
        <w:rPr>
          <w:rFonts w:hint="eastAsia" w:ascii="仿宋_GB2312" w:hAnsi="仿宋_GB2312" w:eastAsia="仿宋_GB2312" w:cs="仿宋_GB2312"/>
          <w:color w:val="auto"/>
          <w:sz w:val="32"/>
          <w:szCs w:val="32"/>
          <w:highlight w:val="none"/>
        </w:rPr>
        <w:t>直流微网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氢能</w:t>
      </w:r>
      <w:r>
        <w:rPr>
          <w:rFonts w:hint="eastAsia" w:ascii="仿宋_GB2312" w:hAnsi="仿宋_GB2312" w:eastAsia="仿宋_GB2312" w:cs="仿宋_GB2312"/>
          <w:color w:val="auto"/>
          <w:sz w:val="32"/>
          <w:szCs w:val="32"/>
          <w:highlight w:val="none"/>
        </w:rPr>
        <w:t>等新技术研发和示范。</w:t>
      </w:r>
      <w:r>
        <w:rPr>
          <w:rFonts w:hint="eastAsia" w:ascii="仿宋_GB2312" w:hAnsi="仿宋_GB2312" w:eastAsia="仿宋_GB2312" w:cs="仿宋_GB2312"/>
          <w:color w:val="auto"/>
          <w:sz w:val="32"/>
          <w:szCs w:val="32"/>
          <w:highlight w:val="none"/>
          <w:lang w:val="en-US" w:eastAsia="zh-CN"/>
        </w:rPr>
        <w:t>推进太阳能、高能效空气源热泵等可再生能源在建筑中的规模化应用。推动建筑用能电气化和低碳化，</w:t>
      </w:r>
      <w:r>
        <w:rPr>
          <w:rFonts w:hint="eastAsia" w:ascii="仿宋_GB2312" w:hAnsi="仿宋_GB2312" w:eastAsia="仿宋_GB2312" w:cs="仿宋_GB2312"/>
          <w:color w:val="auto"/>
          <w:sz w:val="32"/>
          <w:szCs w:val="32"/>
          <w:highlight w:val="none"/>
        </w:rPr>
        <w:t>合理引导建筑用户电力需求，培育智慧用能新模式，实现建筑用能端与电网供给端的智慧响应</w:t>
      </w:r>
      <w:r>
        <w:rPr>
          <w:rFonts w:hint="eastAsia" w:ascii="仿宋_GB2312" w:hAnsi="仿宋_GB2312" w:eastAsia="仿宋_GB2312" w:cs="仿宋_GB2312"/>
          <w:color w:val="auto"/>
          <w:sz w:val="32"/>
          <w:szCs w:val="32"/>
          <w:highlight w:val="none"/>
          <w:lang w:eastAsia="zh-CN"/>
        </w:rPr>
        <w:t>。</w:t>
      </w:r>
    </w:p>
    <w:p>
      <w:pPr>
        <w:snapToGrid w:val="0"/>
        <w:spacing w:line="560" w:lineRule="exact"/>
        <w:ind w:firstLine="643"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13.推进新型建筑工业化。</w:t>
      </w:r>
      <w:r>
        <w:rPr>
          <w:rFonts w:hint="eastAsia" w:ascii="仿宋_GB2312" w:hAnsi="仿宋_GB2312" w:eastAsia="仿宋_GB2312" w:cs="仿宋_GB2312"/>
          <w:b w:val="0"/>
          <w:bCs w:val="0"/>
          <w:color w:val="auto"/>
          <w:sz w:val="32"/>
          <w:szCs w:val="32"/>
          <w:highlight w:val="none"/>
          <w:lang w:val="en-US" w:eastAsia="zh-CN"/>
        </w:rPr>
        <w:t>推进居住建筑、公共建筑、工业建筑按要求实施装配式建筑，并向其他房屋建筑及市政、交通、水务等工程领域全面拓展，在项目立项、规划审批、建设管理等环节明确装配式建筑的要求；开展模块化集成建筑、钢结构住宅、装配式装修、轨道交通装配式车站等新型装配式技术体系的研发推广和试点应用，到2025年底，装配式建筑占新建建筑面积比例达到60%。促进新型建筑工业化与智能化、信息化协同发展，加大装配式建筑产业培育和建设力度，推动形成完整产业链。</w:t>
      </w:r>
    </w:p>
    <w:p>
      <w:pPr>
        <w:snapToGrid w:val="0"/>
        <w:spacing w:line="560" w:lineRule="exact"/>
        <w:ind w:firstLine="643"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14.大力推广应用绿色建材。</w:t>
      </w:r>
      <w:r>
        <w:rPr>
          <w:rFonts w:hint="eastAsia" w:ascii="仿宋_GB2312" w:hAnsi="仿宋_GB2312" w:eastAsia="仿宋_GB2312" w:cs="仿宋_GB2312"/>
          <w:color w:val="auto"/>
          <w:sz w:val="32"/>
          <w:szCs w:val="32"/>
          <w:highlight w:val="none"/>
          <w:lang w:val="en-US" w:eastAsia="zh-CN"/>
        </w:rPr>
        <w:t>加大绿色建材产品和关键技术的研发及成果转化</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鼓励建筑废弃物再生产品研究、生产和应用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培育绿色建材示范产品、示范企业，推动绿色建材行业加快发展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支持有基础的第三方认证机构申请绿色建材认证资质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推进绿色建材产品认证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完善绿色建材推广应用措施，大型公共建筑和国家机关办公建筑、国有资金参与投资建设的其他公共建筑应当优先使用绿色建材，大幅</w:t>
      </w:r>
      <w:r>
        <w:rPr>
          <w:rFonts w:hint="eastAsia" w:ascii="仿宋_GB2312" w:hAnsi="仿宋_GB2312" w:eastAsia="仿宋_GB2312" w:cs="仿宋_GB2312"/>
          <w:color w:val="auto"/>
          <w:sz w:val="32"/>
          <w:szCs w:val="32"/>
          <w:highlight w:val="none"/>
        </w:rPr>
        <w:t>提高新建建筑中绿色建材应用比例。鼓励利用建筑废弃物生产建筑材料和进行再生利用</w:t>
      </w:r>
      <w:r>
        <w:rPr>
          <w:rFonts w:hint="eastAsia" w:ascii="仿宋_GB2312" w:hAnsi="仿宋_GB2312" w:eastAsia="仿宋_GB2312" w:cs="仿宋_GB2312"/>
          <w:color w:val="auto"/>
          <w:sz w:val="32"/>
          <w:szCs w:val="32"/>
          <w:highlight w:val="none"/>
          <w:lang w:eastAsia="zh-CN"/>
        </w:rPr>
        <w:t>。</w:t>
      </w:r>
    </w:p>
    <w:p>
      <w:pPr>
        <w:numPr>
          <w:ilvl w:val="0"/>
          <w:numId w:val="0"/>
        </w:numPr>
        <w:snapToGrid w:val="0"/>
        <w:spacing w:line="56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15.推动绿色建筑科技创新平台建设。</w:t>
      </w:r>
      <w:r>
        <w:rPr>
          <w:rFonts w:hint="eastAsia" w:ascii="仿宋_GB2312" w:hAnsi="仿宋_GB2312" w:eastAsia="仿宋_GB2312" w:cs="仿宋_GB2312"/>
          <w:b w:val="0"/>
          <w:bCs w:val="0"/>
          <w:color w:val="auto"/>
          <w:sz w:val="32"/>
          <w:szCs w:val="32"/>
          <w:highlight w:val="none"/>
          <w:lang w:val="en-US" w:eastAsia="zh-CN"/>
        </w:rPr>
        <w:t>鼓励</w:t>
      </w:r>
      <w:r>
        <w:rPr>
          <w:rFonts w:hint="eastAsia" w:ascii="仿宋_GB2312" w:hAnsi="仿宋_GB2312" w:eastAsia="仿宋_GB2312" w:cs="仿宋_GB2312"/>
          <w:color w:val="auto"/>
          <w:sz w:val="32"/>
          <w:szCs w:val="32"/>
          <w:highlight w:val="none"/>
          <w:lang w:val="en-US" w:eastAsia="zh-CN"/>
        </w:rPr>
        <w:t>建筑节能与</w:t>
      </w:r>
      <w:r>
        <w:rPr>
          <w:rFonts w:hint="eastAsia" w:ascii="仿宋_GB2312" w:hAnsi="仿宋_GB2312" w:eastAsia="仿宋_GB2312" w:cs="仿宋_GB2312"/>
          <w:color w:val="auto"/>
          <w:sz w:val="32"/>
          <w:szCs w:val="32"/>
          <w:highlight w:val="none"/>
        </w:rPr>
        <w:t>绿色建筑科技研</w:t>
      </w:r>
      <w:r>
        <w:rPr>
          <w:rFonts w:hint="eastAsia" w:ascii="仿宋_GB2312" w:hAnsi="仿宋_GB2312" w:eastAsia="仿宋_GB2312" w:cs="仿宋_GB2312"/>
          <w:color w:val="auto"/>
          <w:sz w:val="32"/>
          <w:szCs w:val="32"/>
          <w:highlight w:val="none"/>
          <w:lang w:val="en-US" w:eastAsia="zh-CN"/>
        </w:rPr>
        <w:t>发，推进产学研用相结合，培育绿色建筑领域各级各类创新载体，加速促进科技创新成果转化</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组织项目单位</w:t>
      </w:r>
      <w:r>
        <w:rPr>
          <w:rFonts w:hint="eastAsia" w:ascii="仿宋_GB2312" w:hAnsi="仿宋_GB2312" w:eastAsia="仿宋_GB2312" w:cs="仿宋_GB2312"/>
          <w:color w:val="auto"/>
          <w:sz w:val="32"/>
          <w:szCs w:val="32"/>
          <w:highlight w:val="none"/>
        </w:rPr>
        <w:t>积极申报</w:t>
      </w:r>
      <w:r>
        <w:rPr>
          <w:rFonts w:hint="eastAsia" w:ascii="仿宋_GB2312" w:hAnsi="仿宋_GB2312" w:eastAsia="仿宋_GB2312" w:cs="仿宋_GB2312"/>
          <w:color w:val="auto"/>
          <w:sz w:val="32"/>
          <w:szCs w:val="32"/>
          <w:highlight w:val="none"/>
          <w:lang w:val="en-US" w:eastAsia="zh-CN"/>
        </w:rPr>
        <w:t>国家</w:t>
      </w:r>
      <w:r>
        <w:rPr>
          <w:rFonts w:hint="eastAsia" w:ascii="仿宋_GB2312" w:hAnsi="仿宋_GB2312" w:eastAsia="仿宋_GB2312" w:cs="仿宋_GB2312"/>
          <w:color w:val="auto"/>
          <w:sz w:val="32"/>
          <w:szCs w:val="32"/>
          <w:highlight w:val="none"/>
        </w:rPr>
        <w:t>建筑奖</w:t>
      </w:r>
      <w:r>
        <w:rPr>
          <w:rFonts w:hint="eastAsia" w:ascii="仿宋_GB2312" w:hAnsi="仿宋_GB2312" w:eastAsia="仿宋_GB2312" w:cs="仿宋_GB2312"/>
          <w:color w:val="auto"/>
          <w:sz w:val="32"/>
          <w:szCs w:val="32"/>
          <w:highlight w:val="none"/>
          <w:lang w:eastAsia="zh-CN"/>
        </w:rPr>
        <w:t>，以及</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lang w:eastAsia="zh-CN"/>
        </w:rPr>
        <w:t>、科技</w:t>
      </w:r>
      <w:r>
        <w:rPr>
          <w:rFonts w:hint="eastAsia" w:ascii="仿宋_GB2312" w:hAnsi="仿宋_GB2312" w:eastAsia="仿宋_GB2312" w:cs="仿宋_GB2312"/>
          <w:color w:val="auto"/>
          <w:sz w:val="32"/>
          <w:szCs w:val="32"/>
          <w:highlight w:val="none"/>
          <w:lang w:val="en-US" w:eastAsia="zh-CN"/>
        </w:rPr>
        <w:t>部门的</w:t>
      </w:r>
      <w:r>
        <w:rPr>
          <w:rFonts w:hint="eastAsia" w:ascii="仿宋_GB2312" w:hAnsi="仿宋_GB2312" w:eastAsia="仿宋_GB2312" w:cs="仿宋_GB2312"/>
          <w:color w:val="auto"/>
          <w:sz w:val="32"/>
          <w:szCs w:val="32"/>
          <w:highlight w:val="none"/>
        </w:rPr>
        <w:t>科学技术</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充分</w:t>
      </w:r>
      <w:r>
        <w:rPr>
          <w:rFonts w:hint="eastAsia" w:ascii="仿宋_GB2312" w:hAnsi="仿宋_GB2312" w:eastAsia="仿宋_GB2312" w:cs="仿宋_GB2312"/>
          <w:color w:val="auto"/>
          <w:sz w:val="32"/>
          <w:szCs w:val="32"/>
          <w:highlight w:val="none"/>
        </w:rPr>
        <w:t>发挥我市在高端制造和信息通信等高新技术产业优势，</w:t>
      </w:r>
      <w:r>
        <w:rPr>
          <w:rFonts w:hint="eastAsia" w:ascii="仿宋_GB2312" w:hAnsi="仿宋_GB2312" w:eastAsia="仿宋_GB2312" w:cs="仿宋_GB2312"/>
          <w:color w:val="auto"/>
          <w:sz w:val="32"/>
          <w:szCs w:val="32"/>
          <w:highlight w:val="none"/>
          <w:lang w:val="en-US" w:eastAsia="zh-CN"/>
        </w:rPr>
        <w:t>大力推广建筑信息模型（BIM）技术，加快应用大数据和物联网技术，</w:t>
      </w:r>
      <w:r>
        <w:rPr>
          <w:rFonts w:hint="eastAsia" w:ascii="仿宋_GB2312" w:hAnsi="仿宋_GB2312" w:eastAsia="仿宋_GB2312" w:cs="仿宋_GB2312"/>
          <w:color w:val="auto"/>
          <w:sz w:val="32"/>
          <w:szCs w:val="32"/>
          <w:highlight w:val="none"/>
        </w:rPr>
        <w:t>积极探索5G、人工智能、机器人</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新技术</w:t>
      </w:r>
      <w:r>
        <w:rPr>
          <w:rFonts w:hint="eastAsia" w:ascii="仿宋_GB2312" w:hAnsi="仿宋_GB2312" w:eastAsia="仿宋_GB2312" w:cs="仿宋_GB2312"/>
          <w:color w:val="auto"/>
          <w:sz w:val="32"/>
          <w:szCs w:val="32"/>
          <w:highlight w:val="none"/>
          <w:lang w:eastAsia="zh-CN"/>
        </w:rPr>
        <w:t>在绿色建筑中的应用，</w:t>
      </w:r>
      <w:r>
        <w:rPr>
          <w:rFonts w:hint="eastAsia" w:ascii="仿宋_GB2312" w:hAnsi="仿宋_GB2312" w:eastAsia="仿宋_GB2312" w:cs="仿宋_GB2312"/>
          <w:color w:val="auto"/>
          <w:sz w:val="32"/>
          <w:szCs w:val="32"/>
          <w:highlight w:val="none"/>
          <w:lang w:val="en-US" w:eastAsia="zh-CN"/>
        </w:rPr>
        <w:t>推动绿色建筑技术升级。</w:t>
      </w:r>
    </w:p>
    <w:p>
      <w:pPr>
        <w:snapToGrid w:val="0"/>
        <w:spacing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（五）加强能力建设和宣传交流合作。</w:t>
      </w:r>
    </w:p>
    <w:p>
      <w:pPr>
        <w:snapToGrid w:val="0"/>
        <w:spacing w:line="560" w:lineRule="exact"/>
        <w:ind w:firstLine="643" w:firstLineChars="200"/>
        <w:jc w:val="both"/>
        <w:rPr>
          <w:rFonts w:hint="eastAsia" w:ascii="仿宋_GB2312" w:hAnsi="仿宋_GB2312" w:eastAsia="仿宋_GB2312" w:cs="仿宋_GB2312"/>
          <w:color w:val="auto"/>
          <w:sz w:val="32"/>
          <w:szCs w:val="32"/>
          <w:highlight w:val="none"/>
          <w:lang w:val="en-US" w:eastAsia="zh-CN"/>
        </w:rPr>
      </w:pPr>
      <w:bookmarkStart w:id="10" w:name="_Toc31915"/>
      <w:r>
        <w:rPr>
          <w:rFonts w:hint="eastAsia" w:ascii="仿宋_GB2312" w:hAnsi="仿宋_GB2312" w:eastAsia="仿宋_GB2312" w:cs="仿宋_GB2312"/>
          <w:b/>
          <w:bCs/>
          <w:color w:val="auto"/>
          <w:sz w:val="32"/>
          <w:szCs w:val="32"/>
          <w:highlight w:val="none"/>
          <w:lang w:val="en-US" w:eastAsia="zh-CN"/>
        </w:rPr>
        <w:t>16.增强能力建设</w:t>
      </w:r>
      <w:bookmarkEnd w:id="10"/>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健全绿色建筑人才培育和引进机制，加强</w:t>
      </w:r>
      <w:r>
        <w:rPr>
          <w:rFonts w:hint="eastAsia" w:ascii="仿宋_GB2312" w:hAnsi="仿宋_GB2312" w:eastAsia="仿宋_GB2312" w:cs="仿宋_GB2312"/>
          <w:color w:val="auto"/>
          <w:sz w:val="32"/>
          <w:szCs w:val="32"/>
          <w:highlight w:val="none"/>
          <w:lang w:val="en-US" w:eastAsia="zh-CN"/>
        </w:rPr>
        <w:t>专家团队</w:t>
      </w:r>
      <w:r>
        <w:rPr>
          <w:rFonts w:hint="eastAsia" w:ascii="仿宋_GB2312" w:hAnsi="仿宋_GB2312" w:eastAsia="仿宋_GB2312" w:cs="仿宋_GB2312"/>
          <w:color w:val="auto"/>
          <w:sz w:val="32"/>
          <w:szCs w:val="32"/>
          <w:highlight w:val="none"/>
        </w:rPr>
        <w:t>、专业技术人才培养和产业技能提升。加强第三方</w:t>
      </w:r>
      <w:r>
        <w:rPr>
          <w:rFonts w:hint="eastAsia" w:ascii="仿宋_GB2312" w:hAnsi="仿宋_GB2312" w:eastAsia="仿宋_GB2312" w:cs="仿宋_GB2312"/>
          <w:color w:val="auto"/>
          <w:sz w:val="32"/>
          <w:szCs w:val="32"/>
          <w:highlight w:val="none"/>
          <w:lang w:val="en-US" w:eastAsia="zh-CN"/>
        </w:rPr>
        <w:t>评估与</w:t>
      </w:r>
      <w:r>
        <w:rPr>
          <w:rFonts w:hint="eastAsia" w:ascii="仿宋_GB2312" w:hAnsi="仿宋_GB2312" w:eastAsia="仿宋_GB2312" w:cs="仿宋_GB2312"/>
          <w:color w:val="auto"/>
          <w:sz w:val="32"/>
          <w:szCs w:val="32"/>
          <w:highlight w:val="none"/>
        </w:rPr>
        <w:t>检测、节能审核评价、建筑能效测评机构、绿色物业管理能力建设。积极推进产学研联合模式与机制，推进企业与科研机构强强联合，建立企业与高校的技术创新联合体，提升企业综合竞争力。</w:t>
      </w:r>
      <w:r>
        <w:rPr>
          <w:rFonts w:hint="eastAsia" w:ascii="仿宋_GB2312" w:hAnsi="仿宋_GB2312" w:eastAsia="仿宋_GB2312" w:cs="仿宋_GB2312"/>
          <w:color w:val="auto"/>
          <w:sz w:val="32"/>
          <w:szCs w:val="32"/>
          <w:highlight w:val="none"/>
          <w:lang w:val="en-US" w:eastAsia="zh-CN"/>
        </w:rPr>
        <w:t>促进建筑节能与绿色建筑相关咨询、科研、规划、设计、施工、检测、评价、运行维护企业和机构的发展。</w:t>
      </w:r>
    </w:p>
    <w:p>
      <w:pPr>
        <w:snapToGrid w:val="0"/>
        <w:spacing w:line="560" w:lineRule="exact"/>
        <w:ind w:firstLine="643"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17.加强宣传普及。</w:t>
      </w:r>
      <w:r>
        <w:rPr>
          <w:rFonts w:hint="eastAsia" w:ascii="仿宋_GB2312" w:hAnsi="仿宋_GB2312" w:eastAsia="仿宋_GB2312" w:cs="仿宋_GB2312"/>
          <w:color w:val="auto"/>
          <w:sz w:val="32"/>
          <w:szCs w:val="32"/>
          <w:highlight w:val="none"/>
        </w:rPr>
        <w:t>积极开展相关法律法规、政策标准、典型案例、先进经验的宣贯培训。精心组织建筑节能</w:t>
      </w:r>
      <w:r>
        <w:rPr>
          <w:rFonts w:hint="eastAsia" w:ascii="仿宋_GB2312" w:hAnsi="仿宋_GB2312" w:eastAsia="仿宋_GB2312" w:cs="仿宋_GB2312"/>
          <w:color w:val="auto"/>
          <w:sz w:val="32"/>
          <w:szCs w:val="32"/>
          <w:highlight w:val="none"/>
          <w:lang w:val="en-US" w:eastAsia="zh-CN"/>
        </w:rPr>
        <w:t>与绿色建筑</w:t>
      </w:r>
      <w:r>
        <w:rPr>
          <w:rFonts w:hint="eastAsia" w:ascii="仿宋_GB2312" w:hAnsi="仿宋_GB2312" w:eastAsia="仿宋_GB2312" w:cs="仿宋_GB2312"/>
          <w:color w:val="auto"/>
          <w:sz w:val="32"/>
          <w:szCs w:val="32"/>
          <w:highlight w:val="none"/>
        </w:rPr>
        <w:t>宣传月活动。充分利用报刊、广播、电视等新闻媒体和网络新媒体，充分发挥行业</w:t>
      </w:r>
      <w:r>
        <w:rPr>
          <w:rFonts w:hint="eastAsia" w:ascii="仿宋_GB2312" w:hAnsi="仿宋_GB2312" w:eastAsia="仿宋_GB2312" w:cs="仿宋_GB2312"/>
          <w:color w:val="auto"/>
          <w:sz w:val="32"/>
          <w:szCs w:val="32"/>
          <w:highlight w:val="none"/>
          <w:lang w:val="en-US" w:eastAsia="zh-CN"/>
        </w:rPr>
        <w:t>协会、街道、社区等基层</w:t>
      </w:r>
      <w:r>
        <w:rPr>
          <w:rFonts w:hint="eastAsia" w:ascii="仿宋_GB2312" w:hAnsi="仿宋_GB2312" w:eastAsia="仿宋_GB2312" w:cs="仿宋_GB2312"/>
          <w:color w:val="auto"/>
          <w:sz w:val="32"/>
          <w:szCs w:val="32"/>
          <w:highlight w:val="none"/>
        </w:rPr>
        <w:t>组织作用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举办形式多样的宣传推广活动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倡导绿色生活方式、绿色消费模式，绿色建筑建设单位、物业服务企业应当做好项目的宣传普及，</w:t>
      </w:r>
      <w:r>
        <w:rPr>
          <w:rFonts w:hint="eastAsia" w:ascii="仿宋_GB2312" w:hAnsi="仿宋_GB2312" w:eastAsia="仿宋_GB2312" w:cs="仿宋_GB2312"/>
          <w:color w:val="auto"/>
          <w:sz w:val="32"/>
          <w:szCs w:val="32"/>
          <w:highlight w:val="none"/>
        </w:rPr>
        <w:t>积极引导公众参与，提高价值感知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通过共谋共建共管共评共享</w:t>
      </w:r>
      <w:r>
        <w:rPr>
          <w:rFonts w:hint="eastAsia" w:ascii="仿宋_GB2312" w:hAnsi="仿宋_GB2312" w:eastAsia="仿宋_GB2312" w:cs="仿宋_GB2312"/>
          <w:color w:val="auto"/>
          <w:sz w:val="32"/>
          <w:szCs w:val="32"/>
          <w:highlight w:val="none"/>
          <w:lang w:val="en-US" w:eastAsia="zh-CN"/>
        </w:rPr>
        <w:t>,营造</w:t>
      </w:r>
      <w:r>
        <w:rPr>
          <w:rFonts w:hint="eastAsia" w:ascii="仿宋_GB2312" w:hAnsi="仿宋_GB2312" w:eastAsia="仿宋_GB2312" w:cs="仿宋_GB2312"/>
          <w:color w:val="auto"/>
          <w:sz w:val="32"/>
          <w:szCs w:val="32"/>
          <w:highlight w:val="none"/>
        </w:rPr>
        <w:t>全社会关心支持</w:t>
      </w:r>
      <w:r>
        <w:rPr>
          <w:rFonts w:hint="eastAsia" w:ascii="仿宋_GB2312" w:hAnsi="仿宋_GB2312" w:eastAsia="仿宋_GB2312" w:cs="仿宋_GB2312"/>
          <w:color w:val="auto"/>
          <w:sz w:val="32"/>
          <w:szCs w:val="32"/>
          <w:highlight w:val="none"/>
          <w:lang w:val="en-US" w:eastAsia="zh-CN"/>
        </w:rPr>
        <w:t>节能减排和</w:t>
      </w:r>
      <w:r>
        <w:rPr>
          <w:rFonts w:hint="eastAsia" w:ascii="仿宋_GB2312" w:hAnsi="仿宋_GB2312" w:eastAsia="仿宋_GB2312" w:cs="仿宋_GB2312"/>
          <w:color w:val="auto"/>
          <w:sz w:val="32"/>
          <w:szCs w:val="32"/>
          <w:highlight w:val="none"/>
        </w:rPr>
        <w:t>绿色发展的良好氛围。</w:t>
      </w:r>
    </w:p>
    <w:p>
      <w:pPr>
        <w:snapToGrid w:val="0"/>
        <w:spacing w:line="560" w:lineRule="exact"/>
        <w:ind w:firstLine="643"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18</w:t>
      </w:r>
      <w:r>
        <w:rPr>
          <w:rFonts w:hint="eastAsia" w:ascii="仿宋_GB2312" w:hAnsi="仿宋_GB2312" w:eastAsia="仿宋_GB2312" w:cs="仿宋_GB2312"/>
          <w:b/>
          <w:bCs/>
          <w:color w:val="auto"/>
          <w:sz w:val="32"/>
          <w:szCs w:val="32"/>
          <w:highlight w:val="none"/>
        </w:rPr>
        <w:t>.拓宽国际</w:t>
      </w:r>
      <w:r>
        <w:rPr>
          <w:rFonts w:hint="eastAsia" w:ascii="仿宋_GB2312" w:hAnsi="仿宋_GB2312" w:eastAsia="仿宋_GB2312" w:cs="仿宋_GB2312"/>
          <w:b/>
          <w:bCs/>
          <w:color w:val="auto"/>
          <w:sz w:val="32"/>
          <w:szCs w:val="32"/>
          <w:highlight w:val="none"/>
          <w:lang w:val="en-US" w:eastAsia="zh-CN"/>
        </w:rPr>
        <w:t>国内交流</w:t>
      </w:r>
      <w:r>
        <w:rPr>
          <w:rFonts w:hint="eastAsia" w:ascii="仿宋_GB2312" w:hAnsi="仿宋_GB2312" w:eastAsia="仿宋_GB2312" w:cs="仿宋_GB2312"/>
          <w:b/>
          <w:bCs/>
          <w:color w:val="auto"/>
          <w:sz w:val="32"/>
          <w:szCs w:val="32"/>
          <w:highlight w:val="none"/>
        </w:rPr>
        <w:t>合作</w:t>
      </w:r>
      <w:r>
        <w:rPr>
          <w:rFonts w:hint="eastAsia" w:ascii="仿宋_GB2312" w:hAnsi="仿宋_GB2312" w:eastAsia="仿宋_GB2312" w:cs="仿宋_GB2312"/>
          <w:color w:val="auto"/>
          <w:sz w:val="32"/>
          <w:szCs w:val="32"/>
          <w:highlight w:val="none"/>
        </w:rPr>
        <w:t>。拓宽绿色建筑发展国际合作领域和范围，组织行业协会、企业参加行业领域重大国内国际交流活动。充分利用粤港澳大湾区和一带一路发展契机，推动我市与国内外科研机构、行业组织、企业、院校的交流合作，积极引进、消化、吸收国际先进理念、技术和管理经验，加强人才合作培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增强自主创新能力。加快粤港澳大湾区绿色建设标准的协同采信机制，利用一带一路发展契机探索深圳标准</w:t>
      </w:r>
      <w:r>
        <w:rPr>
          <w:rFonts w:hint="eastAsia" w:ascii="仿宋_GB2312" w:hAnsi="仿宋_GB2312" w:eastAsia="仿宋_GB2312" w:cs="仿宋_GB2312"/>
          <w:color w:val="auto"/>
          <w:sz w:val="32"/>
          <w:szCs w:val="32"/>
          <w:highlight w:val="none"/>
          <w:lang w:val="en-US" w:eastAsia="zh-CN"/>
        </w:rPr>
        <w:t>走出去</w:t>
      </w:r>
      <w:r>
        <w:rPr>
          <w:rFonts w:hint="eastAsia" w:ascii="仿宋_GB2312" w:hAnsi="仿宋_GB2312" w:eastAsia="仿宋_GB2312" w:cs="仿宋_GB2312"/>
          <w:color w:val="auto"/>
          <w:sz w:val="32"/>
          <w:szCs w:val="32"/>
          <w:highlight w:val="none"/>
        </w:rPr>
        <w:t>。</w:t>
      </w:r>
      <w:bookmarkEnd w:id="7"/>
      <w:bookmarkEnd w:id="8"/>
      <w:bookmarkEnd w:id="9"/>
    </w:p>
    <w:p>
      <w:pPr>
        <w:snapToGrid w:val="0"/>
        <w:spacing w:line="560" w:lineRule="exact"/>
        <w:ind w:firstLine="640" w:firstLineChars="20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、保障措施</w:t>
      </w:r>
    </w:p>
    <w:p>
      <w:pPr>
        <w:snapToGrid w:val="0"/>
        <w:spacing w:line="560" w:lineRule="exact"/>
        <w:ind w:firstLine="640" w:firstLineChars="200"/>
        <w:jc w:val="both"/>
        <w:rPr>
          <w:rFonts w:hint="eastAsia" w:ascii="仿宋_GB2312" w:hAnsi="微软雅黑" w:eastAsia="仿宋_GB2312" w:cs="Times New Roman"/>
          <w:bCs/>
          <w:color w:val="auto"/>
          <w:sz w:val="32"/>
          <w:szCs w:val="32"/>
          <w:lang w:eastAsia="zh-CN"/>
        </w:rPr>
      </w:pPr>
      <w:bookmarkStart w:id="11" w:name="_Toc23049"/>
      <w:r>
        <w:rPr>
          <w:rFonts w:hint="eastAsia" w:ascii="楷体_GB2312" w:hAnsi="楷体_GB2312" w:eastAsia="楷体_GB2312" w:cs="楷体_GB2312"/>
          <w:color w:val="auto"/>
          <w:sz w:val="32"/>
          <w:szCs w:val="32"/>
          <w:highlight w:val="none"/>
        </w:rPr>
        <w:t>（一）</w:t>
      </w:r>
      <w:bookmarkStart w:id="12" w:name="_Toc11061"/>
      <w:r>
        <w:rPr>
          <w:rFonts w:hint="eastAsia" w:ascii="楷体_GB2312" w:hAnsi="楷体_GB2312" w:eastAsia="楷体_GB2312" w:cs="楷体_GB2312"/>
          <w:color w:val="auto"/>
          <w:sz w:val="32"/>
          <w:szCs w:val="32"/>
          <w:highlight w:val="none"/>
        </w:rPr>
        <w:t>加强组织领导和</w:t>
      </w:r>
      <w:r>
        <w:rPr>
          <w:rFonts w:hint="eastAsia" w:ascii="楷体_GB2312" w:hAnsi="楷体_GB2312" w:eastAsia="楷体_GB2312" w:cs="楷体_GB2312"/>
          <w:color w:val="auto"/>
          <w:sz w:val="32"/>
          <w:szCs w:val="32"/>
          <w:highlight w:val="none"/>
          <w:lang w:val="en-US" w:eastAsia="zh-CN"/>
        </w:rPr>
        <w:t>任务</w:t>
      </w:r>
      <w:r>
        <w:rPr>
          <w:rFonts w:hint="eastAsia" w:ascii="楷体_GB2312" w:hAnsi="楷体_GB2312" w:eastAsia="楷体_GB2312" w:cs="楷体_GB2312"/>
          <w:color w:val="auto"/>
          <w:sz w:val="32"/>
          <w:szCs w:val="32"/>
          <w:highlight w:val="none"/>
        </w:rPr>
        <w:t>落实。</w:t>
      </w:r>
      <w:r>
        <w:rPr>
          <w:rFonts w:hint="eastAsia" w:ascii="仿宋_GB2312" w:hAnsi="仿宋_GB2312" w:eastAsia="仿宋_GB2312" w:cs="仿宋_GB2312"/>
          <w:color w:val="auto"/>
          <w:sz w:val="32"/>
          <w:szCs w:val="32"/>
          <w:highlight w:val="none"/>
          <w:lang w:eastAsia="zh-CN"/>
        </w:rPr>
        <w:t>建立住房</w:t>
      </w:r>
      <w:r>
        <w:rPr>
          <w:rFonts w:hint="eastAsia" w:ascii="仿宋_GB2312" w:hAnsi="仿宋_GB2312" w:eastAsia="仿宋_GB2312" w:cs="仿宋_GB2312"/>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发展改革、教育、</w:t>
      </w:r>
      <w:r>
        <w:rPr>
          <w:rFonts w:hint="eastAsia" w:ascii="仿宋_GB2312" w:hAnsi="仿宋_GB2312" w:eastAsia="仿宋_GB2312" w:cs="仿宋_GB2312"/>
          <w:color w:val="auto"/>
          <w:sz w:val="32"/>
          <w:szCs w:val="32"/>
          <w:highlight w:val="none"/>
          <w:lang w:eastAsia="zh-CN"/>
        </w:rPr>
        <w:t>科技、</w:t>
      </w:r>
      <w:r>
        <w:rPr>
          <w:rFonts w:hint="eastAsia" w:ascii="仿宋_GB2312" w:hAnsi="仿宋_GB2312" w:eastAsia="仿宋_GB2312" w:cs="仿宋_GB2312"/>
          <w:color w:val="auto"/>
          <w:sz w:val="32"/>
          <w:szCs w:val="32"/>
          <w:highlight w:val="none"/>
          <w:lang w:val="en-US" w:eastAsia="zh-CN"/>
        </w:rPr>
        <w:t>工业和信息化</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财政、自然资源、生态环境、</w:t>
      </w:r>
      <w:r>
        <w:rPr>
          <w:rFonts w:hint="eastAsia" w:ascii="仿宋_GB2312" w:hAnsi="仿宋_GB2312" w:eastAsia="仿宋_GB2312" w:cs="仿宋_GB2312"/>
          <w:color w:val="auto"/>
          <w:sz w:val="32"/>
          <w:szCs w:val="32"/>
          <w:highlight w:val="none"/>
          <w:lang w:eastAsia="zh-CN"/>
        </w:rPr>
        <w:t>市场监管、</w:t>
      </w:r>
      <w:r>
        <w:rPr>
          <w:rFonts w:hint="eastAsia" w:ascii="仿宋_GB2312" w:hAnsi="仿宋_GB2312" w:eastAsia="仿宋_GB2312" w:cs="仿宋_GB2312"/>
          <w:color w:val="auto"/>
          <w:sz w:val="32"/>
          <w:szCs w:val="32"/>
          <w:highlight w:val="none"/>
        </w:rPr>
        <w:t>机关事务管理</w:t>
      </w:r>
      <w:r>
        <w:rPr>
          <w:rFonts w:hint="eastAsia" w:ascii="仿宋_GB2312" w:hAnsi="仿宋_GB2312" w:eastAsia="仿宋_GB2312" w:cs="仿宋_GB2312"/>
          <w:color w:val="auto"/>
          <w:sz w:val="32"/>
          <w:szCs w:val="32"/>
          <w:highlight w:val="none"/>
          <w:lang w:eastAsia="zh-CN"/>
        </w:rPr>
        <w:t>、银保监等部门</w:t>
      </w:r>
      <w:r>
        <w:rPr>
          <w:rFonts w:hint="eastAsia" w:ascii="仿宋_GB2312" w:hAnsi="仿宋_GB2312" w:eastAsia="仿宋_GB2312" w:cs="仿宋_GB2312"/>
          <w:color w:val="auto"/>
          <w:sz w:val="32"/>
          <w:szCs w:val="32"/>
          <w:highlight w:val="none"/>
          <w:lang w:val="en-US" w:eastAsia="zh-CN"/>
        </w:rPr>
        <w:t>共同</w:t>
      </w:r>
      <w:r>
        <w:rPr>
          <w:rFonts w:hint="eastAsia" w:ascii="仿宋_GB2312" w:hAnsi="仿宋_GB2312" w:eastAsia="仿宋_GB2312" w:cs="仿宋_GB2312"/>
          <w:color w:val="auto"/>
          <w:sz w:val="32"/>
          <w:szCs w:val="32"/>
          <w:highlight w:val="none"/>
          <w:lang w:eastAsia="zh-CN"/>
        </w:rPr>
        <w:t>参与的联动工作机制</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切实加强部门间合作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将绿色建筑高质量发展与生态文明建设、应对气候变化、城市品质提升等</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目标相协调、相衔接，凝聚合力，提高</w:t>
      </w:r>
      <w:r>
        <w:rPr>
          <w:rFonts w:hint="eastAsia" w:ascii="仿宋_GB2312" w:hAnsi="仿宋_GB2312" w:eastAsia="仿宋_GB2312" w:cs="仿宋_GB2312"/>
          <w:color w:val="auto"/>
          <w:sz w:val="32"/>
          <w:szCs w:val="32"/>
          <w:highlight w:val="none"/>
          <w:lang w:val="en-US" w:eastAsia="zh-CN"/>
        </w:rPr>
        <w:t>绿色建筑</w:t>
      </w:r>
      <w:r>
        <w:rPr>
          <w:rFonts w:hint="eastAsia" w:ascii="仿宋_GB2312" w:hAnsi="仿宋_GB2312" w:eastAsia="仿宋_GB2312" w:cs="仿宋_GB2312"/>
          <w:color w:val="auto"/>
          <w:sz w:val="32"/>
          <w:szCs w:val="32"/>
          <w:highlight w:val="none"/>
        </w:rPr>
        <w:t>发展</w:t>
      </w:r>
      <w:r>
        <w:rPr>
          <w:rFonts w:hint="eastAsia" w:ascii="仿宋_GB2312" w:hAnsi="仿宋_GB2312" w:eastAsia="仿宋_GB2312" w:cs="仿宋_GB2312"/>
          <w:color w:val="auto"/>
          <w:sz w:val="32"/>
          <w:szCs w:val="32"/>
          <w:highlight w:val="none"/>
          <w:lang w:val="en-US" w:eastAsia="zh-CN"/>
        </w:rPr>
        <w:t>质量和</w:t>
      </w:r>
      <w:r>
        <w:rPr>
          <w:rFonts w:hint="eastAsia" w:ascii="仿宋_GB2312" w:hAnsi="仿宋_GB2312" w:eastAsia="仿宋_GB2312" w:cs="仿宋_GB2312"/>
          <w:color w:val="auto"/>
          <w:sz w:val="32"/>
          <w:szCs w:val="32"/>
          <w:highlight w:val="none"/>
        </w:rPr>
        <w:t>效率。各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按照本行动方案，制定</w:t>
      </w:r>
      <w:r>
        <w:rPr>
          <w:rFonts w:hint="eastAsia" w:ascii="仿宋_GB2312" w:hAnsi="仿宋_GB2312" w:eastAsia="仿宋_GB2312" w:cs="仿宋_GB2312"/>
          <w:color w:val="auto"/>
          <w:sz w:val="32"/>
          <w:szCs w:val="32"/>
          <w:highlight w:val="none"/>
          <w:lang w:eastAsia="zh-CN"/>
        </w:rPr>
        <w:t>年度</w:t>
      </w:r>
      <w:r>
        <w:rPr>
          <w:rFonts w:hint="eastAsia" w:ascii="仿宋_GB2312" w:hAnsi="仿宋_GB2312" w:eastAsia="仿宋_GB2312" w:cs="仿宋_GB2312"/>
          <w:color w:val="auto"/>
          <w:sz w:val="32"/>
          <w:szCs w:val="32"/>
          <w:highlight w:val="none"/>
        </w:rPr>
        <w:t>工作任务台账，</w:t>
      </w:r>
      <w:r>
        <w:rPr>
          <w:rFonts w:hint="eastAsia" w:ascii="仿宋_GB2312" w:hAnsi="仿宋_GB2312" w:eastAsia="仿宋_GB2312" w:cs="仿宋_GB2312"/>
          <w:color w:val="auto"/>
          <w:sz w:val="32"/>
          <w:szCs w:val="32"/>
          <w:highlight w:val="none"/>
          <w:lang w:val="en-US" w:eastAsia="zh-CN"/>
        </w:rPr>
        <w:t>细化目标任务，明确</w:t>
      </w:r>
      <w:r>
        <w:rPr>
          <w:rFonts w:hint="eastAsia" w:ascii="仿宋_GB2312" w:hAnsi="仿宋_GB2312" w:eastAsia="仿宋_GB2312" w:cs="仿宋_GB2312"/>
          <w:color w:val="auto"/>
          <w:sz w:val="32"/>
          <w:szCs w:val="32"/>
          <w:highlight w:val="none"/>
        </w:rPr>
        <w:t>工作内容、工作时限、工作要求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强化工作责任</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全面落实</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lang w:eastAsia="zh-CN"/>
        </w:rPr>
        <w:t>实施方案中</w:t>
      </w:r>
      <w:r>
        <w:rPr>
          <w:rFonts w:hint="eastAsia" w:ascii="仿宋_GB2312" w:hAnsi="仿宋_GB2312" w:eastAsia="仿宋_GB2312" w:cs="仿宋_GB2312"/>
          <w:color w:val="auto"/>
          <w:sz w:val="32"/>
          <w:szCs w:val="32"/>
          <w:highlight w:val="none"/>
          <w:lang w:val="en-US" w:eastAsia="zh-CN"/>
        </w:rPr>
        <w:t>工作任务</w:t>
      </w:r>
      <w:r>
        <w:rPr>
          <w:rFonts w:hint="eastAsia" w:ascii="仿宋_GB2312" w:hAnsi="微软雅黑" w:eastAsia="仿宋_GB2312" w:cs="Times New Roman"/>
          <w:bCs/>
          <w:color w:val="auto"/>
          <w:sz w:val="32"/>
          <w:szCs w:val="32"/>
        </w:rPr>
        <w:t>。</w:t>
      </w:r>
    </w:p>
    <w:p>
      <w:pPr>
        <w:numPr>
          <w:ilvl w:val="0"/>
          <w:numId w:val="1"/>
        </w:numPr>
        <w:snapToGrid w:val="0"/>
        <w:spacing w:line="560" w:lineRule="exact"/>
        <w:ind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rPr>
        <w:t>严格督查和考核。</w:t>
      </w:r>
      <w:bookmarkEnd w:id="12"/>
      <w:r>
        <w:rPr>
          <w:rFonts w:hint="eastAsia" w:ascii="仿宋_GB2312" w:hAnsi="仿宋_GB2312" w:eastAsia="仿宋_GB2312" w:cs="仿宋_GB2312"/>
          <w:color w:val="auto"/>
          <w:sz w:val="32"/>
          <w:szCs w:val="32"/>
          <w:highlight w:val="none"/>
        </w:rPr>
        <w:t>建立行动目标责任制，对行动实施情况开展</w:t>
      </w:r>
      <w:r>
        <w:rPr>
          <w:rFonts w:hint="eastAsia" w:ascii="仿宋_GB2312" w:hAnsi="仿宋_GB2312" w:eastAsia="仿宋_GB2312" w:cs="仿宋_GB2312"/>
          <w:color w:val="auto"/>
          <w:sz w:val="32"/>
          <w:szCs w:val="32"/>
          <w:highlight w:val="none"/>
          <w:lang w:val="en-US" w:eastAsia="zh-CN"/>
        </w:rPr>
        <w:t>成效评价，相关工作完成情况纳入到全市生态文明考核、节能目标责任考核</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市住房建设局</w:t>
      </w:r>
      <w:r>
        <w:rPr>
          <w:rFonts w:hint="eastAsia" w:ascii="仿宋_GB2312" w:hAnsi="仿宋_GB2312" w:eastAsia="仿宋_GB2312" w:cs="仿宋_GB2312"/>
          <w:color w:val="auto"/>
          <w:sz w:val="32"/>
          <w:szCs w:val="32"/>
          <w:highlight w:val="none"/>
          <w:lang w:eastAsia="zh-CN"/>
        </w:rPr>
        <w:t>会同有关部门</w:t>
      </w:r>
      <w:r>
        <w:rPr>
          <w:rFonts w:hint="eastAsia" w:ascii="仿宋_GB2312" w:hAnsi="仿宋_GB2312" w:eastAsia="仿宋_GB2312" w:cs="仿宋_GB2312"/>
          <w:color w:val="auto"/>
          <w:sz w:val="32"/>
          <w:szCs w:val="32"/>
          <w:highlight w:val="none"/>
        </w:rPr>
        <w:t>加强对绿色建筑</w:t>
      </w:r>
      <w:r>
        <w:rPr>
          <w:rFonts w:hint="eastAsia" w:ascii="仿宋_GB2312" w:hAnsi="仿宋_GB2312" w:eastAsia="仿宋_GB2312" w:cs="仿宋_GB2312"/>
          <w:color w:val="auto"/>
          <w:sz w:val="32"/>
          <w:szCs w:val="32"/>
          <w:highlight w:val="none"/>
          <w:lang w:val="en-US" w:eastAsia="zh-CN"/>
        </w:rPr>
        <w:t>高质量发展</w:t>
      </w:r>
      <w:r>
        <w:rPr>
          <w:rFonts w:hint="eastAsia" w:ascii="仿宋_GB2312" w:hAnsi="仿宋_GB2312" w:eastAsia="仿宋_GB2312" w:cs="仿宋_GB2312"/>
          <w:color w:val="auto"/>
          <w:sz w:val="32"/>
          <w:szCs w:val="32"/>
          <w:highlight w:val="none"/>
        </w:rPr>
        <w:t>行动工作落实情况</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指导监督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应当组织本地区绿色建筑创建成效评价，</w:t>
      </w:r>
      <w:r>
        <w:rPr>
          <w:rFonts w:hint="eastAsia" w:ascii="仿宋_GB2312" w:hAnsi="仿宋_GB2312" w:eastAsia="仿宋_GB2312" w:cs="仿宋_GB2312"/>
          <w:color w:val="auto"/>
          <w:sz w:val="32"/>
          <w:szCs w:val="32"/>
          <w:highlight w:val="none"/>
          <w:lang w:eastAsia="zh-CN"/>
        </w:rPr>
        <w:t>建立完善季度报表和年度总结报送工作机制，</w:t>
      </w:r>
      <w:r>
        <w:rPr>
          <w:rFonts w:hint="eastAsia" w:ascii="仿宋_GB2312" w:hAnsi="仿宋_GB2312" w:eastAsia="仿宋_GB2312" w:cs="仿宋_GB2312"/>
          <w:color w:val="auto"/>
          <w:sz w:val="32"/>
          <w:szCs w:val="32"/>
          <w:highlight w:val="none"/>
        </w:rPr>
        <w:t>及时总结当年进展情况和成效，</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于每年1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月底前报</w:t>
      </w:r>
      <w:r>
        <w:rPr>
          <w:rFonts w:hint="eastAsia" w:ascii="仿宋_GB2312" w:hAnsi="仿宋_GB2312" w:eastAsia="仿宋_GB2312" w:cs="仿宋_GB2312"/>
          <w:color w:val="auto"/>
          <w:sz w:val="32"/>
          <w:szCs w:val="32"/>
          <w:highlight w:val="none"/>
          <w:lang w:val="en-US" w:eastAsia="zh-CN"/>
        </w:rPr>
        <w:t>市住房建设局</w:t>
      </w:r>
      <w:r>
        <w:rPr>
          <w:rFonts w:hint="eastAsia" w:ascii="仿宋_GB2312" w:hAnsi="仿宋_GB2312" w:eastAsia="仿宋_GB2312" w:cs="仿宋_GB2312"/>
          <w:color w:val="auto"/>
          <w:sz w:val="32"/>
          <w:szCs w:val="32"/>
          <w:highlight w:val="none"/>
        </w:rPr>
        <w:t>。</w:t>
      </w:r>
    </w:p>
    <w:p>
      <w:pPr>
        <w:snapToGrid w:val="0"/>
        <w:spacing w:line="560" w:lineRule="exact"/>
        <w:ind w:firstLine="640" w:firstLineChars="200"/>
        <w:jc w:val="both"/>
        <w:rPr>
          <w:rFonts w:hint="eastAsia" w:eastAsia="仿宋_GB2312"/>
          <w:lang w:val="en-US"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完善激励机制。</w:t>
      </w:r>
      <w:r>
        <w:rPr>
          <w:rFonts w:ascii="仿宋_GB2312" w:hAnsi="微软雅黑" w:eastAsia="仿宋_GB2312" w:cs="Times New Roman"/>
          <w:bCs/>
          <w:color w:val="auto"/>
          <w:sz w:val="32"/>
          <w:szCs w:val="32"/>
        </w:rPr>
        <w:t>市、区财政部门应当安排相应资金用于支持绿色建筑</w:t>
      </w:r>
      <w:r>
        <w:rPr>
          <w:rFonts w:hint="eastAsia" w:ascii="仿宋_GB2312" w:hAnsi="微软雅黑" w:eastAsia="仿宋_GB2312" w:cs="Times New Roman"/>
          <w:bCs/>
          <w:color w:val="auto"/>
          <w:sz w:val="32"/>
          <w:szCs w:val="32"/>
        </w:rPr>
        <w:t>产业</w:t>
      </w:r>
      <w:r>
        <w:rPr>
          <w:rFonts w:ascii="仿宋_GB2312" w:hAnsi="微软雅黑" w:eastAsia="仿宋_GB2312" w:cs="Times New Roman"/>
          <w:bCs/>
          <w:color w:val="auto"/>
          <w:sz w:val="32"/>
          <w:szCs w:val="32"/>
        </w:rPr>
        <w:t>发展</w:t>
      </w:r>
      <w:r>
        <w:rPr>
          <w:rFonts w:hint="eastAsia" w:ascii="仿宋_GB2312" w:hAnsi="微软雅黑" w:eastAsia="仿宋_GB2312" w:cs="Times New Roman"/>
          <w:bCs/>
          <w:color w:val="auto"/>
          <w:sz w:val="32"/>
          <w:szCs w:val="32"/>
          <w:lang w:eastAsia="zh-CN"/>
        </w:rPr>
        <w:t>，</w:t>
      </w:r>
      <w:r>
        <w:rPr>
          <w:rFonts w:hint="eastAsia" w:ascii="仿宋_GB2312" w:hAnsi="仿宋_GB2312" w:eastAsia="仿宋_GB2312" w:cs="仿宋_GB2312"/>
          <w:color w:val="auto"/>
          <w:sz w:val="32"/>
          <w:szCs w:val="32"/>
          <w:highlight w:val="none"/>
        </w:rPr>
        <w:t>充分发挥财政资金的激励、引导作用，加</w:t>
      </w:r>
      <w:r>
        <w:rPr>
          <w:rFonts w:hint="eastAsia" w:ascii="仿宋_GB2312" w:hAnsi="仿宋_GB2312" w:eastAsia="仿宋_GB2312" w:cs="仿宋_GB2312"/>
          <w:color w:val="auto"/>
          <w:sz w:val="32"/>
          <w:szCs w:val="32"/>
          <w:highlight w:val="none"/>
          <w:lang w:val="en-US" w:eastAsia="zh-CN"/>
        </w:rPr>
        <w:t>大</w:t>
      </w:r>
      <w:r>
        <w:rPr>
          <w:rFonts w:hint="eastAsia" w:ascii="仿宋_GB2312" w:hAnsi="仿宋_GB2312" w:eastAsia="仿宋_GB2312" w:cs="仿宋_GB2312"/>
          <w:color w:val="auto"/>
          <w:sz w:val="32"/>
          <w:szCs w:val="32"/>
          <w:highlight w:val="none"/>
        </w:rPr>
        <w:t>对绿色建筑</w:t>
      </w:r>
      <w:r>
        <w:rPr>
          <w:rFonts w:hint="eastAsia" w:ascii="仿宋_GB2312" w:hAnsi="仿宋_GB2312" w:eastAsia="仿宋_GB2312" w:cs="仿宋_GB2312"/>
          <w:color w:val="auto"/>
          <w:sz w:val="32"/>
          <w:szCs w:val="32"/>
          <w:highlight w:val="none"/>
          <w:lang w:val="en-US" w:eastAsia="zh-CN"/>
        </w:rPr>
        <w:t>发展</w:t>
      </w:r>
      <w:r>
        <w:rPr>
          <w:rFonts w:hint="eastAsia" w:ascii="仿宋_GB2312" w:hAnsi="仿宋_GB2312" w:eastAsia="仿宋_GB2312" w:cs="仿宋_GB2312"/>
          <w:color w:val="auto"/>
          <w:sz w:val="32"/>
          <w:szCs w:val="32"/>
          <w:highlight w:val="none"/>
        </w:rPr>
        <w:t>工作的支持。</w:t>
      </w:r>
      <w:r>
        <w:rPr>
          <w:rFonts w:hint="eastAsia" w:ascii="仿宋_GB2312" w:hAnsi="仿宋_GB2312" w:eastAsia="仿宋_GB2312" w:cs="仿宋_GB2312"/>
          <w:color w:val="auto"/>
          <w:sz w:val="32"/>
          <w:szCs w:val="32"/>
          <w:highlight w:val="none"/>
          <w:lang w:val="en-US" w:eastAsia="zh-CN"/>
        </w:rPr>
        <w:t>研究落实建筑面积、容积率等奖励政策以及公积金贷款有关鼓励措施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积极推动金融机构按照风险可控、商业可持续原则创新</w:t>
      </w:r>
      <w:r>
        <w:rPr>
          <w:rFonts w:hint="eastAsia" w:ascii="仿宋_GB2312" w:hAnsi="仿宋_GB2312" w:eastAsia="仿宋_GB2312" w:cs="仿宋_GB2312"/>
          <w:color w:val="auto"/>
          <w:sz w:val="32"/>
          <w:szCs w:val="32"/>
          <w:highlight w:val="none"/>
        </w:rPr>
        <w:t>绿色基金、绿色信贷、绿色债券、绿色保险等</w:t>
      </w:r>
      <w:r>
        <w:rPr>
          <w:rFonts w:hint="eastAsia" w:ascii="仿宋_GB2312" w:hAnsi="仿宋_GB2312" w:eastAsia="仿宋_GB2312" w:cs="仿宋_GB2312"/>
          <w:color w:val="auto"/>
          <w:sz w:val="32"/>
          <w:szCs w:val="32"/>
          <w:highlight w:val="none"/>
          <w:lang w:val="en-US" w:eastAsia="zh-CN"/>
        </w:rPr>
        <w:t>金融产品和服务，加大对绿色建筑的投融资，</w:t>
      </w:r>
      <w:r>
        <w:rPr>
          <w:rFonts w:hint="eastAsia" w:ascii="仿宋_GB2312" w:hAnsi="仿宋_GB2312" w:eastAsia="仿宋_GB2312" w:cs="仿宋_GB2312"/>
          <w:color w:val="auto"/>
          <w:sz w:val="32"/>
          <w:szCs w:val="32"/>
          <w:highlight w:val="none"/>
        </w:rPr>
        <w:t>推动</w:t>
      </w:r>
      <w:r>
        <w:rPr>
          <w:rFonts w:hint="eastAsia" w:ascii="仿宋_GB2312" w:hAnsi="仿宋_GB2312" w:eastAsia="仿宋_GB2312" w:cs="仿宋_GB2312"/>
          <w:color w:val="auto"/>
          <w:sz w:val="32"/>
          <w:szCs w:val="32"/>
          <w:highlight w:val="none"/>
          <w:lang w:val="en-US" w:eastAsia="zh-CN"/>
        </w:rPr>
        <w:t>绿色建筑和绿色金融协同。各</w:t>
      </w:r>
      <w:r>
        <w:rPr>
          <w:rFonts w:hint="eastAsia" w:ascii="仿宋_GB2312" w:hAnsi="仿宋_GB2312" w:eastAsia="仿宋_GB2312" w:cs="仿宋_GB2312"/>
          <w:color w:val="auto"/>
          <w:sz w:val="32"/>
          <w:szCs w:val="32"/>
          <w:highlight w:val="none"/>
        </w:rPr>
        <w:t>区可以结合实际情况，出台相应政策、办法、措施，引导和鼓励辖区内建筑节能和绿色建筑工作。</w:t>
      </w:r>
      <w:bookmarkEnd w:id="11"/>
    </w:p>
    <w:sectPr>
      <w:headerReference r:id="rId5" w:type="first"/>
      <w:footerReference r:id="rId8" w:type="first"/>
      <w:headerReference r:id="rId3" w:type="default"/>
      <w:footerReference r:id="rId6" w:type="default"/>
      <w:headerReference r:id="rId4" w:type="even"/>
      <w:footerReference r:id="rId7" w:type="even"/>
      <w:pgSz w:w="11906" w:h="16838"/>
      <w:pgMar w:top="2154" w:right="1474"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jc w:val="center"/>
    </w:pPr>
    <w:r>
      <w:fldChar w:fldCharType="begin"/>
    </w:r>
    <w:r>
      <w:instrText xml:space="preserve">PAGE   \* MERGEFORMAT</w:instrText>
    </w:r>
    <w:r>
      <w:fldChar w:fldCharType="separate"/>
    </w:r>
    <w:r>
      <w:rPr>
        <w:lang w:val="zh-CN"/>
      </w:rPr>
      <w:t>14</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A9ABA"/>
    <w:multiLevelType w:val="singleLevel"/>
    <w:tmpl w:val="BD7A9AB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27"/>
    <w:rsid w:val="000034BE"/>
    <w:rsid w:val="00004C50"/>
    <w:rsid w:val="00010AE5"/>
    <w:rsid w:val="00011F0F"/>
    <w:rsid w:val="00030E1B"/>
    <w:rsid w:val="000334F5"/>
    <w:rsid w:val="00033BED"/>
    <w:rsid w:val="00037412"/>
    <w:rsid w:val="0004024D"/>
    <w:rsid w:val="0004048D"/>
    <w:rsid w:val="000468DC"/>
    <w:rsid w:val="00047FB8"/>
    <w:rsid w:val="00057A0A"/>
    <w:rsid w:val="00065592"/>
    <w:rsid w:val="00065ACF"/>
    <w:rsid w:val="000715F5"/>
    <w:rsid w:val="00073249"/>
    <w:rsid w:val="00074026"/>
    <w:rsid w:val="00075EC2"/>
    <w:rsid w:val="00080F26"/>
    <w:rsid w:val="000868A6"/>
    <w:rsid w:val="00090917"/>
    <w:rsid w:val="00090A40"/>
    <w:rsid w:val="00095337"/>
    <w:rsid w:val="000A202F"/>
    <w:rsid w:val="000A2406"/>
    <w:rsid w:val="000B0145"/>
    <w:rsid w:val="000B3BB2"/>
    <w:rsid w:val="000C2D8D"/>
    <w:rsid w:val="000C6C38"/>
    <w:rsid w:val="000D33F6"/>
    <w:rsid w:val="000D416F"/>
    <w:rsid w:val="000D772D"/>
    <w:rsid w:val="000E4017"/>
    <w:rsid w:val="000E485F"/>
    <w:rsid w:val="000F72FC"/>
    <w:rsid w:val="00100B0B"/>
    <w:rsid w:val="001044A2"/>
    <w:rsid w:val="00105CC0"/>
    <w:rsid w:val="00107702"/>
    <w:rsid w:val="001103F5"/>
    <w:rsid w:val="00115920"/>
    <w:rsid w:val="00126A58"/>
    <w:rsid w:val="00156115"/>
    <w:rsid w:val="00156796"/>
    <w:rsid w:val="001569D5"/>
    <w:rsid w:val="00161E3A"/>
    <w:rsid w:val="00162531"/>
    <w:rsid w:val="00166025"/>
    <w:rsid w:val="0017277D"/>
    <w:rsid w:val="0018436F"/>
    <w:rsid w:val="00184A8B"/>
    <w:rsid w:val="001923E9"/>
    <w:rsid w:val="001A142E"/>
    <w:rsid w:val="001A4D62"/>
    <w:rsid w:val="001A6C37"/>
    <w:rsid w:val="001B2A99"/>
    <w:rsid w:val="001B3909"/>
    <w:rsid w:val="001B5C4C"/>
    <w:rsid w:val="001C2C8C"/>
    <w:rsid w:val="001C462B"/>
    <w:rsid w:val="001C6D1A"/>
    <w:rsid w:val="001C7437"/>
    <w:rsid w:val="001D2620"/>
    <w:rsid w:val="001D313F"/>
    <w:rsid w:val="001E0848"/>
    <w:rsid w:val="001E1100"/>
    <w:rsid w:val="001E18B7"/>
    <w:rsid w:val="001E7939"/>
    <w:rsid w:val="001F2EEA"/>
    <w:rsid w:val="00216CB4"/>
    <w:rsid w:val="00221B9B"/>
    <w:rsid w:val="0023498B"/>
    <w:rsid w:val="00236125"/>
    <w:rsid w:val="00243F26"/>
    <w:rsid w:val="00252D5B"/>
    <w:rsid w:val="00255F65"/>
    <w:rsid w:val="00260670"/>
    <w:rsid w:val="002764EB"/>
    <w:rsid w:val="0027771A"/>
    <w:rsid w:val="002818BB"/>
    <w:rsid w:val="00291542"/>
    <w:rsid w:val="002950D7"/>
    <w:rsid w:val="002A594B"/>
    <w:rsid w:val="002A79E0"/>
    <w:rsid w:val="002B3BF2"/>
    <w:rsid w:val="002B6DCD"/>
    <w:rsid w:val="002C22FF"/>
    <w:rsid w:val="002D23B0"/>
    <w:rsid w:val="002D23D3"/>
    <w:rsid w:val="002E3C61"/>
    <w:rsid w:val="002E4FD0"/>
    <w:rsid w:val="002F0B2D"/>
    <w:rsid w:val="002F40F8"/>
    <w:rsid w:val="002F599F"/>
    <w:rsid w:val="002F6D32"/>
    <w:rsid w:val="003066BD"/>
    <w:rsid w:val="00312487"/>
    <w:rsid w:val="003130FF"/>
    <w:rsid w:val="00314B3E"/>
    <w:rsid w:val="00321561"/>
    <w:rsid w:val="00325C6E"/>
    <w:rsid w:val="00330F33"/>
    <w:rsid w:val="00334E00"/>
    <w:rsid w:val="00335DC4"/>
    <w:rsid w:val="00336387"/>
    <w:rsid w:val="00337FC0"/>
    <w:rsid w:val="00346BAF"/>
    <w:rsid w:val="00364072"/>
    <w:rsid w:val="00370F32"/>
    <w:rsid w:val="003712A4"/>
    <w:rsid w:val="00371DF9"/>
    <w:rsid w:val="003804EA"/>
    <w:rsid w:val="00385ABD"/>
    <w:rsid w:val="003920ED"/>
    <w:rsid w:val="003A07C0"/>
    <w:rsid w:val="003A1DC3"/>
    <w:rsid w:val="003A505F"/>
    <w:rsid w:val="003A517A"/>
    <w:rsid w:val="003B2E34"/>
    <w:rsid w:val="003B6B92"/>
    <w:rsid w:val="003C2BEE"/>
    <w:rsid w:val="003D1E58"/>
    <w:rsid w:val="003E3447"/>
    <w:rsid w:val="003E6999"/>
    <w:rsid w:val="003F4016"/>
    <w:rsid w:val="00402809"/>
    <w:rsid w:val="00410450"/>
    <w:rsid w:val="00411E71"/>
    <w:rsid w:val="00413CAC"/>
    <w:rsid w:val="00413E7F"/>
    <w:rsid w:val="00417B94"/>
    <w:rsid w:val="004231E4"/>
    <w:rsid w:val="0043073E"/>
    <w:rsid w:val="00430BA8"/>
    <w:rsid w:val="00433450"/>
    <w:rsid w:val="00447B10"/>
    <w:rsid w:val="00451FB3"/>
    <w:rsid w:val="0045386C"/>
    <w:rsid w:val="00453DF4"/>
    <w:rsid w:val="00482FEB"/>
    <w:rsid w:val="004907BD"/>
    <w:rsid w:val="0049230B"/>
    <w:rsid w:val="004A2D82"/>
    <w:rsid w:val="004A79FA"/>
    <w:rsid w:val="004B6A3A"/>
    <w:rsid w:val="004B751E"/>
    <w:rsid w:val="004D0C57"/>
    <w:rsid w:val="004D233A"/>
    <w:rsid w:val="004D3009"/>
    <w:rsid w:val="004E7B60"/>
    <w:rsid w:val="004F0FBC"/>
    <w:rsid w:val="004F1E8F"/>
    <w:rsid w:val="004F5AB8"/>
    <w:rsid w:val="004F67BD"/>
    <w:rsid w:val="00500D8A"/>
    <w:rsid w:val="005028DE"/>
    <w:rsid w:val="0050359E"/>
    <w:rsid w:val="0051188E"/>
    <w:rsid w:val="00532EC1"/>
    <w:rsid w:val="00535D8A"/>
    <w:rsid w:val="00552964"/>
    <w:rsid w:val="005567B2"/>
    <w:rsid w:val="005652E3"/>
    <w:rsid w:val="00565874"/>
    <w:rsid w:val="0057475B"/>
    <w:rsid w:val="00580F6E"/>
    <w:rsid w:val="005A1754"/>
    <w:rsid w:val="005A4994"/>
    <w:rsid w:val="005A521C"/>
    <w:rsid w:val="005A74E4"/>
    <w:rsid w:val="005B6431"/>
    <w:rsid w:val="005C632B"/>
    <w:rsid w:val="005D015A"/>
    <w:rsid w:val="005D15CF"/>
    <w:rsid w:val="005E49AC"/>
    <w:rsid w:val="005E4D54"/>
    <w:rsid w:val="005F100D"/>
    <w:rsid w:val="005F2CF4"/>
    <w:rsid w:val="006003EC"/>
    <w:rsid w:val="00607C50"/>
    <w:rsid w:val="0061228F"/>
    <w:rsid w:val="0061246B"/>
    <w:rsid w:val="0062172D"/>
    <w:rsid w:val="0062418F"/>
    <w:rsid w:val="0062533F"/>
    <w:rsid w:val="00640744"/>
    <w:rsid w:val="00642401"/>
    <w:rsid w:val="00646AB7"/>
    <w:rsid w:val="006747BB"/>
    <w:rsid w:val="006750E4"/>
    <w:rsid w:val="0067724B"/>
    <w:rsid w:val="00677C10"/>
    <w:rsid w:val="006A79E6"/>
    <w:rsid w:val="006B4CC0"/>
    <w:rsid w:val="006B72EB"/>
    <w:rsid w:val="006C630F"/>
    <w:rsid w:val="006C6A71"/>
    <w:rsid w:val="006D1861"/>
    <w:rsid w:val="006D66D6"/>
    <w:rsid w:val="006E32D9"/>
    <w:rsid w:val="006F2120"/>
    <w:rsid w:val="006F4287"/>
    <w:rsid w:val="00707E61"/>
    <w:rsid w:val="0071046C"/>
    <w:rsid w:val="0071209D"/>
    <w:rsid w:val="00717518"/>
    <w:rsid w:val="00730545"/>
    <w:rsid w:val="00731C5D"/>
    <w:rsid w:val="007346F6"/>
    <w:rsid w:val="0073727D"/>
    <w:rsid w:val="00741976"/>
    <w:rsid w:val="0074491A"/>
    <w:rsid w:val="00745207"/>
    <w:rsid w:val="00745633"/>
    <w:rsid w:val="00751EF6"/>
    <w:rsid w:val="00766CBD"/>
    <w:rsid w:val="00767D47"/>
    <w:rsid w:val="00782CEB"/>
    <w:rsid w:val="007850C5"/>
    <w:rsid w:val="00787312"/>
    <w:rsid w:val="0079340A"/>
    <w:rsid w:val="00795B65"/>
    <w:rsid w:val="0079769C"/>
    <w:rsid w:val="007A1146"/>
    <w:rsid w:val="007B3556"/>
    <w:rsid w:val="007B35A5"/>
    <w:rsid w:val="007C6946"/>
    <w:rsid w:val="007D029E"/>
    <w:rsid w:val="007E1864"/>
    <w:rsid w:val="007F2190"/>
    <w:rsid w:val="007F35B9"/>
    <w:rsid w:val="007F4E0B"/>
    <w:rsid w:val="0081309F"/>
    <w:rsid w:val="00820CE8"/>
    <w:rsid w:val="0082267B"/>
    <w:rsid w:val="00824CE8"/>
    <w:rsid w:val="00824FD8"/>
    <w:rsid w:val="00826104"/>
    <w:rsid w:val="008266DD"/>
    <w:rsid w:val="00831582"/>
    <w:rsid w:val="008403FC"/>
    <w:rsid w:val="00844C9D"/>
    <w:rsid w:val="008525A3"/>
    <w:rsid w:val="008557CA"/>
    <w:rsid w:val="008708F3"/>
    <w:rsid w:val="00884AAB"/>
    <w:rsid w:val="00887AB8"/>
    <w:rsid w:val="00891A3D"/>
    <w:rsid w:val="008920EB"/>
    <w:rsid w:val="008920F1"/>
    <w:rsid w:val="008946E2"/>
    <w:rsid w:val="008A23DF"/>
    <w:rsid w:val="008C6881"/>
    <w:rsid w:val="008D139F"/>
    <w:rsid w:val="008D2943"/>
    <w:rsid w:val="008D37EF"/>
    <w:rsid w:val="008D76B5"/>
    <w:rsid w:val="008E436D"/>
    <w:rsid w:val="008E656E"/>
    <w:rsid w:val="008F40F6"/>
    <w:rsid w:val="009178B4"/>
    <w:rsid w:val="009226AD"/>
    <w:rsid w:val="00923761"/>
    <w:rsid w:val="009301EC"/>
    <w:rsid w:val="00933875"/>
    <w:rsid w:val="00951BA9"/>
    <w:rsid w:val="00952C0B"/>
    <w:rsid w:val="00956697"/>
    <w:rsid w:val="0096575D"/>
    <w:rsid w:val="00984014"/>
    <w:rsid w:val="00985BA3"/>
    <w:rsid w:val="00992C7B"/>
    <w:rsid w:val="0099431A"/>
    <w:rsid w:val="009945FF"/>
    <w:rsid w:val="009B2382"/>
    <w:rsid w:val="009B489F"/>
    <w:rsid w:val="009B5013"/>
    <w:rsid w:val="009C38FD"/>
    <w:rsid w:val="009C3F6D"/>
    <w:rsid w:val="009D67E5"/>
    <w:rsid w:val="009E1E31"/>
    <w:rsid w:val="009E31FD"/>
    <w:rsid w:val="009E6173"/>
    <w:rsid w:val="009E7A07"/>
    <w:rsid w:val="00A01AFA"/>
    <w:rsid w:val="00A06F8F"/>
    <w:rsid w:val="00A1556B"/>
    <w:rsid w:val="00A15847"/>
    <w:rsid w:val="00A22E4A"/>
    <w:rsid w:val="00A2378C"/>
    <w:rsid w:val="00A242E4"/>
    <w:rsid w:val="00A25070"/>
    <w:rsid w:val="00A33C8B"/>
    <w:rsid w:val="00A377D9"/>
    <w:rsid w:val="00A513FA"/>
    <w:rsid w:val="00A51922"/>
    <w:rsid w:val="00A51B04"/>
    <w:rsid w:val="00A52876"/>
    <w:rsid w:val="00A54D99"/>
    <w:rsid w:val="00A675C7"/>
    <w:rsid w:val="00A8015C"/>
    <w:rsid w:val="00A82E1B"/>
    <w:rsid w:val="00A85607"/>
    <w:rsid w:val="00A875D5"/>
    <w:rsid w:val="00A8794E"/>
    <w:rsid w:val="00A87EFA"/>
    <w:rsid w:val="00A91BC2"/>
    <w:rsid w:val="00A97489"/>
    <w:rsid w:val="00AA51E0"/>
    <w:rsid w:val="00AA593B"/>
    <w:rsid w:val="00AA5FDE"/>
    <w:rsid w:val="00AA7C6B"/>
    <w:rsid w:val="00AB1E8D"/>
    <w:rsid w:val="00AB1EC0"/>
    <w:rsid w:val="00AB2FFC"/>
    <w:rsid w:val="00AB312B"/>
    <w:rsid w:val="00AB5E1D"/>
    <w:rsid w:val="00AC0C81"/>
    <w:rsid w:val="00AE1C7D"/>
    <w:rsid w:val="00AE2985"/>
    <w:rsid w:val="00AE69E0"/>
    <w:rsid w:val="00AF1ABA"/>
    <w:rsid w:val="00AF554B"/>
    <w:rsid w:val="00AF58C5"/>
    <w:rsid w:val="00B06590"/>
    <w:rsid w:val="00B11407"/>
    <w:rsid w:val="00B12287"/>
    <w:rsid w:val="00B12EEB"/>
    <w:rsid w:val="00B20020"/>
    <w:rsid w:val="00B211F5"/>
    <w:rsid w:val="00B25CED"/>
    <w:rsid w:val="00B32928"/>
    <w:rsid w:val="00B410F1"/>
    <w:rsid w:val="00B422AA"/>
    <w:rsid w:val="00B437FF"/>
    <w:rsid w:val="00B47693"/>
    <w:rsid w:val="00B501C2"/>
    <w:rsid w:val="00B50A07"/>
    <w:rsid w:val="00B5789B"/>
    <w:rsid w:val="00B603A2"/>
    <w:rsid w:val="00B8449A"/>
    <w:rsid w:val="00B8490D"/>
    <w:rsid w:val="00B914E8"/>
    <w:rsid w:val="00B9253B"/>
    <w:rsid w:val="00B94BFD"/>
    <w:rsid w:val="00B96F1E"/>
    <w:rsid w:val="00BA592A"/>
    <w:rsid w:val="00BA7412"/>
    <w:rsid w:val="00BB27DA"/>
    <w:rsid w:val="00BB5C69"/>
    <w:rsid w:val="00BB6DBB"/>
    <w:rsid w:val="00BE5418"/>
    <w:rsid w:val="00BE70F4"/>
    <w:rsid w:val="00BE795E"/>
    <w:rsid w:val="00BF1B27"/>
    <w:rsid w:val="00BF3594"/>
    <w:rsid w:val="00C068EC"/>
    <w:rsid w:val="00C126C1"/>
    <w:rsid w:val="00C1602F"/>
    <w:rsid w:val="00C22EC0"/>
    <w:rsid w:val="00C23F96"/>
    <w:rsid w:val="00C25BB2"/>
    <w:rsid w:val="00C30609"/>
    <w:rsid w:val="00C31F84"/>
    <w:rsid w:val="00C43F6C"/>
    <w:rsid w:val="00C458D0"/>
    <w:rsid w:val="00C55E8C"/>
    <w:rsid w:val="00C57466"/>
    <w:rsid w:val="00C60540"/>
    <w:rsid w:val="00C61BC5"/>
    <w:rsid w:val="00C661EE"/>
    <w:rsid w:val="00C67A7C"/>
    <w:rsid w:val="00C71005"/>
    <w:rsid w:val="00C8558B"/>
    <w:rsid w:val="00C85B32"/>
    <w:rsid w:val="00C91880"/>
    <w:rsid w:val="00C958FD"/>
    <w:rsid w:val="00C96903"/>
    <w:rsid w:val="00CC0CB2"/>
    <w:rsid w:val="00CD31F2"/>
    <w:rsid w:val="00CD7CFA"/>
    <w:rsid w:val="00CE6603"/>
    <w:rsid w:val="00CF04B0"/>
    <w:rsid w:val="00CF0561"/>
    <w:rsid w:val="00CF07B4"/>
    <w:rsid w:val="00CF7515"/>
    <w:rsid w:val="00CF7CF5"/>
    <w:rsid w:val="00D02118"/>
    <w:rsid w:val="00D3328D"/>
    <w:rsid w:val="00D50E87"/>
    <w:rsid w:val="00D51B4F"/>
    <w:rsid w:val="00D5246E"/>
    <w:rsid w:val="00D55446"/>
    <w:rsid w:val="00D61E88"/>
    <w:rsid w:val="00D653E5"/>
    <w:rsid w:val="00D77D37"/>
    <w:rsid w:val="00D849AF"/>
    <w:rsid w:val="00D97BF4"/>
    <w:rsid w:val="00DA169C"/>
    <w:rsid w:val="00DA3832"/>
    <w:rsid w:val="00DB2D48"/>
    <w:rsid w:val="00DB2F54"/>
    <w:rsid w:val="00DB48E4"/>
    <w:rsid w:val="00DE0799"/>
    <w:rsid w:val="00DE3BCC"/>
    <w:rsid w:val="00DE4F20"/>
    <w:rsid w:val="00DF1C7B"/>
    <w:rsid w:val="00DF2517"/>
    <w:rsid w:val="00DF79D2"/>
    <w:rsid w:val="00E05115"/>
    <w:rsid w:val="00E1308F"/>
    <w:rsid w:val="00E158E7"/>
    <w:rsid w:val="00E21231"/>
    <w:rsid w:val="00E306C2"/>
    <w:rsid w:val="00E428E3"/>
    <w:rsid w:val="00E44D87"/>
    <w:rsid w:val="00E476EB"/>
    <w:rsid w:val="00E541A7"/>
    <w:rsid w:val="00E64C37"/>
    <w:rsid w:val="00E67BC2"/>
    <w:rsid w:val="00E756D2"/>
    <w:rsid w:val="00E84915"/>
    <w:rsid w:val="00E92073"/>
    <w:rsid w:val="00E92628"/>
    <w:rsid w:val="00E92BB3"/>
    <w:rsid w:val="00E96F7A"/>
    <w:rsid w:val="00EA5CE4"/>
    <w:rsid w:val="00EC15CC"/>
    <w:rsid w:val="00EC17F5"/>
    <w:rsid w:val="00EC341A"/>
    <w:rsid w:val="00EF24D5"/>
    <w:rsid w:val="00EF4726"/>
    <w:rsid w:val="00F04133"/>
    <w:rsid w:val="00F07ED9"/>
    <w:rsid w:val="00F11B3D"/>
    <w:rsid w:val="00F207DF"/>
    <w:rsid w:val="00F263AA"/>
    <w:rsid w:val="00F276B1"/>
    <w:rsid w:val="00F27B54"/>
    <w:rsid w:val="00F30488"/>
    <w:rsid w:val="00F37669"/>
    <w:rsid w:val="00F37DFF"/>
    <w:rsid w:val="00F405F6"/>
    <w:rsid w:val="00F44507"/>
    <w:rsid w:val="00F44D53"/>
    <w:rsid w:val="00F65020"/>
    <w:rsid w:val="00F654EA"/>
    <w:rsid w:val="00F70804"/>
    <w:rsid w:val="00F86E1F"/>
    <w:rsid w:val="00F92549"/>
    <w:rsid w:val="00F928F9"/>
    <w:rsid w:val="00FA02C4"/>
    <w:rsid w:val="00FA6E90"/>
    <w:rsid w:val="00FB2121"/>
    <w:rsid w:val="00FB62EA"/>
    <w:rsid w:val="00FC2166"/>
    <w:rsid w:val="00FC223E"/>
    <w:rsid w:val="00FC3D9B"/>
    <w:rsid w:val="00FC7FF5"/>
    <w:rsid w:val="00FF2540"/>
    <w:rsid w:val="00FF336F"/>
    <w:rsid w:val="00FF5D61"/>
    <w:rsid w:val="00FF698D"/>
    <w:rsid w:val="01145951"/>
    <w:rsid w:val="01524A7A"/>
    <w:rsid w:val="016C1863"/>
    <w:rsid w:val="01C82243"/>
    <w:rsid w:val="01E6152D"/>
    <w:rsid w:val="01E9188B"/>
    <w:rsid w:val="0233162C"/>
    <w:rsid w:val="02337BCD"/>
    <w:rsid w:val="029D325A"/>
    <w:rsid w:val="02AF2076"/>
    <w:rsid w:val="02F52D9E"/>
    <w:rsid w:val="035E7D8F"/>
    <w:rsid w:val="03F45788"/>
    <w:rsid w:val="04BC53F8"/>
    <w:rsid w:val="04D4081E"/>
    <w:rsid w:val="04F55555"/>
    <w:rsid w:val="053A1F45"/>
    <w:rsid w:val="05B26A9D"/>
    <w:rsid w:val="0648625E"/>
    <w:rsid w:val="0716200E"/>
    <w:rsid w:val="07442B86"/>
    <w:rsid w:val="0754368B"/>
    <w:rsid w:val="083772E0"/>
    <w:rsid w:val="08634CAB"/>
    <w:rsid w:val="08840C53"/>
    <w:rsid w:val="0895263A"/>
    <w:rsid w:val="08FF54D2"/>
    <w:rsid w:val="08FF56EA"/>
    <w:rsid w:val="090D2269"/>
    <w:rsid w:val="09665B57"/>
    <w:rsid w:val="09673BFD"/>
    <w:rsid w:val="09984D77"/>
    <w:rsid w:val="0A300AE7"/>
    <w:rsid w:val="0A391389"/>
    <w:rsid w:val="0ADC63E4"/>
    <w:rsid w:val="0B0A2AC3"/>
    <w:rsid w:val="0B763CC7"/>
    <w:rsid w:val="0B83485A"/>
    <w:rsid w:val="0BA7594D"/>
    <w:rsid w:val="0BB1211F"/>
    <w:rsid w:val="0BCA29FB"/>
    <w:rsid w:val="0C873A8E"/>
    <w:rsid w:val="0CA30F0B"/>
    <w:rsid w:val="0CAA33BC"/>
    <w:rsid w:val="0CAE2D78"/>
    <w:rsid w:val="0CF827D4"/>
    <w:rsid w:val="0D5E4C40"/>
    <w:rsid w:val="0D5F3FBC"/>
    <w:rsid w:val="0D9045F8"/>
    <w:rsid w:val="0DC86568"/>
    <w:rsid w:val="0DCD7334"/>
    <w:rsid w:val="0E100A36"/>
    <w:rsid w:val="0E6642B0"/>
    <w:rsid w:val="0F1C0222"/>
    <w:rsid w:val="0F61774B"/>
    <w:rsid w:val="0F6E1A52"/>
    <w:rsid w:val="0FB26250"/>
    <w:rsid w:val="0FC57B1A"/>
    <w:rsid w:val="0FD8254E"/>
    <w:rsid w:val="0FE45850"/>
    <w:rsid w:val="0FE535E8"/>
    <w:rsid w:val="100951E8"/>
    <w:rsid w:val="104C1852"/>
    <w:rsid w:val="105477A9"/>
    <w:rsid w:val="11583DFD"/>
    <w:rsid w:val="117E18FD"/>
    <w:rsid w:val="11A527BF"/>
    <w:rsid w:val="11B90BA4"/>
    <w:rsid w:val="11BF0E38"/>
    <w:rsid w:val="11C3622D"/>
    <w:rsid w:val="130362C7"/>
    <w:rsid w:val="139D5DD3"/>
    <w:rsid w:val="13C44A2F"/>
    <w:rsid w:val="14065831"/>
    <w:rsid w:val="140E3DCA"/>
    <w:rsid w:val="142F15AD"/>
    <w:rsid w:val="1438443B"/>
    <w:rsid w:val="14832EA7"/>
    <w:rsid w:val="148A2274"/>
    <w:rsid w:val="14A3489E"/>
    <w:rsid w:val="14A84B3E"/>
    <w:rsid w:val="14F82AE4"/>
    <w:rsid w:val="152378BB"/>
    <w:rsid w:val="159B0DF3"/>
    <w:rsid w:val="15B75BB0"/>
    <w:rsid w:val="160114A8"/>
    <w:rsid w:val="16113116"/>
    <w:rsid w:val="163C0251"/>
    <w:rsid w:val="1716311A"/>
    <w:rsid w:val="17665984"/>
    <w:rsid w:val="1781069F"/>
    <w:rsid w:val="17BC3DE3"/>
    <w:rsid w:val="17C16434"/>
    <w:rsid w:val="181860B7"/>
    <w:rsid w:val="183326C1"/>
    <w:rsid w:val="186D6EEE"/>
    <w:rsid w:val="18A669F7"/>
    <w:rsid w:val="18B41744"/>
    <w:rsid w:val="190A22CF"/>
    <w:rsid w:val="195A554E"/>
    <w:rsid w:val="198257ED"/>
    <w:rsid w:val="1A5939F8"/>
    <w:rsid w:val="1ABB44BA"/>
    <w:rsid w:val="1B1A44D5"/>
    <w:rsid w:val="1B4D3EE4"/>
    <w:rsid w:val="1B7F1E29"/>
    <w:rsid w:val="1C2E31AB"/>
    <w:rsid w:val="1C8645FC"/>
    <w:rsid w:val="1C9B2446"/>
    <w:rsid w:val="1D312EAF"/>
    <w:rsid w:val="1D796B9B"/>
    <w:rsid w:val="1D7D3E6D"/>
    <w:rsid w:val="1DE44157"/>
    <w:rsid w:val="1DE66834"/>
    <w:rsid w:val="1E1A0931"/>
    <w:rsid w:val="1E7F209E"/>
    <w:rsid w:val="1E974B82"/>
    <w:rsid w:val="1EE559BD"/>
    <w:rsid w:val="1F084257"/>
    <w:rsid w:val="1FAF7D1B"/>
    <w:rsid w:val="1FBC4353"/>
    <w:rsid w:val="201A442C"/>
    <w:rsid w:val="20304650"/>
    <w:rsid w:val="20994559"/>
    <w:rsid w:val="20CE0ADF"/>
    <w:rsid w:val="20EA2897"/>
    <w:rsid w:val="213A775F"/>
    <w:rsid w:val="214C1D55"/>
    <w:rsid w:val="217659AD"/>
    <w:rsid w:val="21A521AF"/>
    <w:rsid w:val="22A66A21"/>
    <w:rsid w:val="230940F9"/>
    <w:rsid w:val="231E06FE"/>
    <w:rsid w:val="235B5D8C"/>
    <w:rsid w:val="237801C8"/>
    <w:rsid w:val="237B28AF"/>
    <w:rsid w:val="239A3A0C"/>
    <w:rsid w:val="23AA61E0"/>
    <w:rsid w:val="241B707A"/>
    <w:rsid w:val="24545F71"/>
    <w:rsid w:val="245B2A2A"/>
    <w:rsid w:val="247A250B"/>
    <w:rsid w:val="24BC0052"/>
    <w:rsid w:val="250C7E27"/>
    <w:rsid w:val="252E6618"/>
    <w:rsid w:val="255A1CCA"/>
    <w:rsid w:val="25860B2D"/>
    <w:rsid w:val="25945DFD"/>
    <w:rsid w:val="25B67996"/>
    <w:rsid w:val="25B763CB"/>
    <w:rsid w:val="2651076D"/>
    <w:rsid w:val="26B742CA"/>
    <w:rsid w:val="2754428F"/>
    <w:rsid w:val="277975ED"/>
    <w:rsid w:val="27C309B3"/>
    <w:rsid w:val="27DA59F1"/>
    <w:rsid w:val="27E960FE"/>
    <w:rsid w:val="28591842"/>
    <w:rsid w:val="287D51FA"/>
    <w:rsid w:val="28860AFA"/>
    <w:rsid w:val="2929710D"/>
    <w:rsid w:val="293A0E30"/>
    <w:rsid w:val="29B46128"/>
    <w:rsid w:val="29C2220B"/>
    <w:rsid w:val="29F66E92"/>
    <w:rsid w:val="2A0E1D82"/>
    <w:rsid w:val="2A4B3F4E"/>
    <w:rsid w:val="2A5849E0"/>
    <w:rsid w:val="2AA1057E"/>
    <w:rsid w:val="2AC718BC"/>
    <w:rsid w:val="2B3B7DEE"/>
    <w:rsid w:val="2B4B1B15"/>
    <w:rsid w:val="2B767F5B"/>
    <w:rsid w:val="2BA42816"/>
    <w:rsid w:val="2C855AFF"/>
    <w:rsid w:val="2C945202"/>
    <w:rsid w:val="2CEA753F"/>
    <w:rsid w:val="2D484E76"/>
    <w:rsid w:val="2D7E4134"/>
    <w:rsid w:val="2D8F2A13"/>
    <w:rsid w:val="2D9C5B61"/>
    <w:rsid w:val="2DC412A4"/>
    <w:rsid w:val="2DD760DD"/>
    <w:rsid w:val="2E3432D2"/>
    <w:rsid w:val="2E40666F"/>
    <w:rsid w:val="2EDB3DCF"/>
    <w:rsid w:val="2EFA576E"/>
    <w:rsid w:val="2F000CF9"/>
    <w:rsid w:val="2F3B5051"/>
    <w:rsid w:val="30760F46"/>
    <w:rsid w:val="30DF14C9"/>
    <w:rsid w:val="314646C7"/>
    <w:rsid w:val="31476967"/>
    <w:rsid w:val="32274CEF"/>
    <w:rsid w:val="32404A54"/>
    <w:rsid w:val="32907051"/>
    <w:rsid w:val="32F6722D"/>
    <w:rsid w:val="33463EAF"/>
    <w:rsid w:val="335E4782"/>
    <w:rsid w:val="339453C5"/>
    <w:rsid w:val="33B77665"/>
    <w:rsid w:val="33C90A8E"/>
    <w:rsid w:val="34560AC4"/>
    <w:rsid w:val="346871ED"/>
    <w:rsid w:val="34EC0353"/>
    <w:rsid w:val="34F07B4C"/>
    <w:rsid w:val="360037C9"/>
    <w:rsid w:val="360415D1"/>
    <w:rsid w:val="36113FC2"/>
    <w:rsid w:val="361C3497"/>
    <w:rsid w:val="3629252D"/>
    <w:rsid w:val="363F7E86"/>
    <w:rsid w:val="36601943"/>
    <w:rsid w:val="366A66E4"/>
    <w:rsid w:val="3682337C"/>
    <w:rsid w:val="36EF38B6"/>
    <w:rsid w:val="37041BCB"/>
    <w:rsid w:val="37385B7A"/>
    <w:rsid w:val="378C62F8"/>
    <w:rsid w:val="37910FBB"/>
    <w:rsid w:val="37B938B6"/>
    <w:rsid w:val="37E3768F"/>
    <w:rsid w:val="37F3489C"/>
    <w:rsid w:val="37FC571E"/>
    <w:rsid w:val="38027FA3"/>
    <w:rsid w:val="38A41024"/>
    <w:rsid w:val="38F3757C"/>
    <w:rsid w:val="394B7802"/>
    <w:rsid w:val="394E4794"/>
    <w:rsid w:val="39AD3852"/>
    <w:rsid w:val="39D509C8"/>
    <w:rsid w:val="39F70870"/>
    <w:rsid w:val="3A1E3BD2"/>
    <w:rsid w:val="3A24436F"/>
    <w:rsid w:val="3A546176"/>
    <w:rsid w:val="3A740CF3"/>
    <w:rsid w:val="3AB96240"/>
    <w:rsid w:val="3ABA69D7"/>
    <w:rsid w:val="3ADD6F6F"/>
    <w:rsid w:val="3AE17A1E"/>
    <w:rsid w:val="3AE64D5A"/>
    <w:rsid w:val="3AF97350"/>
    <w:rsid w:val="3B3A3AF8"/>
    <w:rsid w:val="3B7E4A28"/>
    <w:rsid w:val="3C984CDC"/>
    <w:rsid w:val="3CAE7994"/>
    <w:rsid w:val="3CC45F3D"/>
    <w:rsid w:val="3CDB570E"/>
    <w:rsid w:val="3CDD2EB2"/>
    <w:rsid w:val="3D9A016E"/>
    <w:rsid w:val="3DB114C5"/>
    <w:rsid w:val="3E22615B"/>
    <w:rsid w:val="3E4567B7"/>
    <w:rsid w:val="3E9177B6"/>
    <w:rsid w:val="3EEA612C"/>
    <w:rsid w:val="3F4A572B"/>
    <w:rsid w:val="3F517199"/>
    <w:rsid w:val="3FE0175A"/>
    <w:rsid w:val="3FEA71B5"/>
    <w:rsid w:val="3FFA2978"/>
    <w:rsid w:val="40370BEB"/>
    <w:rsid w:val="407E69DB"/>
    <w:rsid w:val="412728E8"/>
    <w:rsid w:val="41351254"/>
    <w:rsid w:val="41364EE9"/>
    <w:rsid w:val="41C10A4F"/>
    <w:rsid w:val="42B614A3"/>
    <w:rsid w:val="42CD0EA8"/>
    <w:rsid w:val="435F4B93"/>
    <w:rsid w:val="43670AAE"/>
    <w:rsid w:val="43C42359"/>
    <w:rsid w:val="441C6B86"/>
    <w:rsid w:val="441F2B7A"/>
    <w:rsid w:val="44AE2F01"/>
    <w:rsid w:val="44E33EB6"/>
    <w:rsid w:val="44F901B8"/>
    <w:rsid w:val="45431CA0"/>
    <w:rsid w:val="45A445E0"/>
    <w:rsid w:val="45C219E4"/>
    <w:rsid w:val="46453DBE"/>
    <w:rsid w:val="46471ECE"/>
    <w:rsid w:val="465807F2"/>
    <w:rsid w:val="46694656"/>
    <w:rsid w:val="467344C8"/>
    <w:rsid w:val="46947B69"/>
    <w:rsid w:val="46A13BAA"/>
    <w:rsid w:val="472F5BD9"/>
    <w:rsid w:val="476837B5"/>
    <w:rsid w:val="478A79C4"/>
    <w:rsid w:val="47C82661"/>
    <w:rsid w:val="483C6B19"/>
    <w:rsid w:val="487302DB"/>
    <w:rsid w:val="48A879DB"/>
    <w:rsid w:val="48D564AA"/>
    <w:rsid w:val="48DB3696"/>
    <w:rsid w:val="48E33441"/>
    <w:rsid w:val="493C2C1E"/>
    <w:rsid w:val="497B0683"/>
    <w:rsid w:val="49A57B8E"/>
    <w:rsid w:val="49E95DD2"/>
    <w:rsid w:val="49EF64C4"/>
    <w:rsid w:val="49F15D03"/>
    <w:rsid w:val="4ACE19AD"/>
    <w:rsid w:val="4AD639D4"/>
    <w:rsid w:val="4AFA4FCA"/>
    <w:rsid w:val="4B2F1B8C"/>
    <w:rsid w:val="4B3B3295"/>
    <w:rsid w:val="4B4D4BAA"/>
    <w:rsid w:val="4BB8045B"/>
    <w:rsid w:val="4BC27F89"/>
    <w:rsid w:val="4BC5405E"/>
    <w:rsid w:val="4BFC271C"/>
    <w:rsid w:val="4CBE188B"/>
    <w:rsid w:val="4CD3751A"/>
    <w:rsid w:val="4CF41A94"/>
    <w:rsid w:val="4D35378E"/>
    <w:rsid w:val="4DB46227"/>
    <w:rsid w:val="4E66112F"/>
    <w:rsid w:val="4E7C7A4F"/>
    <w:rsid w:val="4E9005B0"/>
    <w:rsid w:val="4EC64B22"/>
    <w:rsid w:val="4F4237CB"/>
    <w:rsid w:val="4F526740"/>
    <w:rsid w:val="4F56078C"/>
    <w:rsid w:val="4FAA0276"/>
    <w:rsid w:val="50237CDC"/>
    <w:rsid w:val="50280D8F"/>
    <w:rsid w:val="507F6D07"/>
    <w:rsid w:val="508E3FFF"/>
    <w:rsid w:val="513F099F"/>
    <w:rsid w:val="52411D19"/>
    <w:rsid w:val="532A4D98"/>
    <w:rsid w:val="53826C58"/>
    <w:rsid w:val="53A43FC8"/>
    <w:rsid w:val="53C06698"/>
    <w:rsid w:val="53D0484F"/>
    <w:rsid w:val="54241AC1"/>
    <w:rsid w:val="547D6649"/>
    <w:rsid w:val="54D06235"/>
    <w:rsid w:val="54DB6FE5"/>
    <w:rsid w:val="54F1339C"/>
    <w:rsid w:val="559C4684"/>
    <w:rsid w:val="55B3668E"/>
    <w:rsid w:val="55CF0B53"/>
    <w:rsid w:val="55D75763"/>
    <w:rsid w:val="561F13DA"/>
    <w:rsid w:val="56224ECF"/>
    <w:rsid w:val="564C32B3"/>
    <w:rsid w:val="56523D85"/>
    <w:rsid w:val="56B162D2"/>
    <w:rsid w:val="57124F45"/>
    <w:rsid w:val="5758495A"/>
    <w:rsid w:val="57EE334D"/>
    <w:rsid w:val="58B74B5E"/>
    <w:rsid w:val="58C57961"/>
    <w:rsid w:val="58E62AD0"/>
    <w:rsid w:val="593D09AF"/>
    <w:rsid w:val="5995166B"/>
    <w:rsid w:val="5A134CD6"/>
    <w:rsid w:val="5A1E35AD"/>
    <w:rsid w:val="5A5468C1"/>
    <w:rsid w:val="5A997EB2"/>
    <w:rsid w:val="5B055484"/>
    <w:rsid w:val="5B157553"/>
    <w:rsid w:val="5C495FA6"/>
    <w:rsid w:val="5C7D0B85"/>
    <w:rsid w:val="5CB1468A"/>
    <w:rsid w:val="5D863646"/>
    <w:rsid w:val="5DBA5A89"/>
    <w:rsid w:val="5E2A27D5"/>
    <w:rsid w:val="5E846766"/>
    <w:rsid w:val="5EB24BEC"/>
    <w:rsid w:val="5F3D04DC"/>
    <w:rsid w:val="605303BD"/>
    <w:rsid w:val="62152BEC"/>
    <w:rsid w:val="62533A5E"/>
    <w:rsid w:val="627C12D0"/>
    <w:rsid w:val="62E76BA5"/>
    <w:rsid w:val="63192522"/>
    <w:rsid w:val="631F7CAE"/>
    <w:rsid w:val="63426F3B"/>
    <w:rsid w:val="635639DA"/>
    <w:rsid w:val="638A6A61"/>
    <w:rsid w:val="63B40466"/>
    <w:rsid w:val="63E61C76"/>
    <w:rsid w:val="63E97133"/>
    <w:rsid w:val="64AD25FF"/>
    <w:rsid w:val="65831BF5"/>
    <w:rsid w:val="65E13C56"/>
    <w:rsid w:val="66070BA9"/>
    <w:rsid w:val="674C5F2C"/>
    <w:rsid w:val="677F680A"/>
    <w:rsid w:val="67DA08F2"/>
    <w:rsid w:val="67F7435D"/>
    <w:rsid w:val="680D5F50"/>
    <w:rsid w:val="682F0FBE"/>
    <w:rsid w:val="68B07440"/>
    <w:rsid w:val="68DD296B"/>
    <w:rsid w:val="69690898"/>
    <w:rsid w:val="69707425"/>
    <w:rsid w:val="69DA5FFC"/>
    <w:rsid w:val="69EC4755"/>
    <w:rsid w:val="6A3241A3"/>
    <w:rsid w:val="6A356B60"/>
    <w:rsid w:val="6A581AC0"/>
    <w:rsid w:val="6A5F0019"/>
    <w:rsid w:val="6B3A4FB9"/>
    <w:rsid w:val="6B6039A1"/>
    <w:rsid w:val="6BDD0F4E"/>
    <w:rsid w:val="6BFC37CE"/>
    <w:rsid w:val="6C591914"/>
    <w:rsid w:val="6CEC4993"/>
    <w:rsid w:val="6D2555A0"/>
    <w:rsid w:val="6D4C3FDE"/>
    <w:rsid w:val="6D894640"/>
    <w:rsid w:val="6D89691C"/>
    <w:rsid w:val="6DFD3F7F"/>
    <w:rsid w:val="6E0700DD"/>
    <w:rsid w:val="6E691820"/>
    <w:rsid w:val="6E826C6D"/>
    <w:rsid w:val="6E964E19"/>
    <w:rsid w:val="6F071808"/>
    <w:rsid w:val="6F0C0B7B"/>
    <w:rsid w:val="6F0F0944"/>
    <w:rsid w:val="6F914145"/>
    <w:rsid w:val="70395552"/>
    <w:rsid w:val="70463A81"/>
    <w:rsid w:val="70613511"/>
    <w:rsid w:val="70C64F81"/>
    <w:rsid w:val="71473A67"/>
    <w:rsid w:val="714C2898"/>
    <w:rsid w:val="71B111D7"/>
    <w:rsid w:val="72394ABE"/>
    <w:rsid w:val="72602CC3"/>
    <w:rsid w:val="72B542EC"/>
    <w:rsid w:val="72D65D4F"/>
    <w:rsid w:val="72D92704"/>
    <w:rsid w:val="731068D5"/>
    <w:rsid w:val="73A82382"/>
    <w:rsid w:val="73BB7718"/>
    <w:rsid w:val="73CF5691"/>
    <w:rsid w:val="74964153"/>
    <w:rsid w:val="74B62662"/>
    <w:rsid w:val="74CB5523"/>
    <w:rsid w:val="74E64423"/>
    <w:rsid w:val="759D1102"/>
    <w:rsid w:val="75D934E5"/>
    <w:rsid w:val="75F711CE"/>
    <w:rsid w:val="76316E66"/>
    <w:rsid w:val="763B7A0A"/>
    <w:rsid w:val="76824014"/>
    <w:rsid w:val="76936230"/>
    <w:rsid w:val="76CB5B7A"/>
    <w:rsid w:val="77035551"/>
    <w:rsid w:val="77062C53"/>
    <w:rsid w:val="776B18F8"/>
    <w:rsid w:val="77BF6BF2"/>
    <w:rsid w:val="780539C8"/>
    <w:rsid w:val="78257E64"/>
    <w:rsid w:val="782A763A"/>
    <w:rsid w:val="784D2833"/>
    <w:rsid w:val="78B23A57"/>
    <w:rsid w:val="79045352"/>
    <w:rsid w:val="794B6850"/>
    <w:rsid w:val="798D2D69"/>
    <w:rsid w:val="7AB051E0"/>
    <w:rsid w:val="7ABF492B"/>
    <w:rsid w:val="7AC11EE8"/>
    <w:rsid w:val="7B0321E5"/>
    <w:rsid w:val="7B4C349C"/>
    <w:rsid w:val="7BB64C03"/>
    <w:rsid w:val="7BB810FA"/>
    <w:rsid w:val="7BC56BA0"/>
    <w:rsid w:val="7C285E17"/>
    <w:rsid w:val="7CDC52E7"/>
    <w:rsid w:val="7D025E2C"/>
    <w:rsid w:val="7D152F57"/>
    <w:rsid w:val="7D5C4D75"/>
    <w:rsid w:val="7D791DE3"/>
    <w:rsid w:val="7E2F2532"/>
    <w:rsid w:val="7EBB53B0"/>
    <w:rsid w:val="7F8F7761"/>
    <w:rsid w:val="7FB65A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1"/>
      <w:sz w:val="24"/>
      <w:szCs w:val="22"/>
      <w:lang w:val="en-US" w:eastAsia="zh-CN"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2"/>
    <w:qFormat/>
    <w:uiPriority w:val="9"/>
    <w:pPr>
      <w:adjustRightInd w:val="0"/>
      <w:spacing w:before="156" w:beforeLines="50" w:after="156" w:afterLines="50"/>
      <w:ind w:firstLine="0" w:firstLineChars="0"/>
      <w:outlineLvl w:val="1"/>
    </w:pPr>
    <w:rPr>
      <w:rFonts w:eastAsia="仿宋_GB2312"/>
      <w:b/>
      <w:sz w:val="32"/>
      <w:szCs w:val="32"/>
    </w:rPr>
  </w:style>
  <w:style w:type="paragraph" w:styleId="6">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rPr>
  </w:style>
  <w:style w:type="paragraph" w:styleId="3">
    <w:name w:val="Title"/>
    <w:basedOn w:val="1"/>
    <w:next w:val="1"/>
    <w:qFormat/>
    <w:uiPriority w:val="0"/>
    <w:pPr>
      <w:spacing w:before="240" w:after="60"/>
      <w:jc w:val="center"/>
      <w:textAlignment w:val="baseline"/>
    </w:pPr>
    <w:rPr>
      <w:rFonts w:ascii="Cambria" w:hAnsi="Cambria" w:cs="Times New Roman"/>
      <w:b/>
      <w:bCs/>
      <w:sz w:val="32"/>
      <w:szCs w:val="32"/>
    </w:rPr>
  </w:style>
  <w:style w:type="paragraph" w:styleId="7">
    <w:name w:val="Normal Indent"/>
    <w:basedOn w:val="1"/>
    <w:next w:val="1"/>
    <w:unhideWhenUsed/>
    <w:qFormat/>
    <w:uiPriority w:val="99"/>
    <w:pPr>
      <w:adjustRightInd w:val="0"/>
      <w:spacing w:line="360" w:lineRule="auto"/>
      <w:ind w:firstLine="420"/>
      <w:textAlignment w:val="baseline"/>
    </w:pPr>
    <w:rPr>
      <w:rFonts w:eastAsia="仿宋_GB2312"/>
      <w:kern w:val="0"/>
      <w:sz w:val="32"/>
    </w:rPr>
  </w:style>
  <w:style w:type="paragraph" w:styleId="8">
    <w:name w:val="annotation text"/>
    <w:basedOn w:val="1"/>
    <w:link w:val="34"/>
    <w:unhideWhenUsed/>
    <w:qFormat/>
    <w:uiPriority w:val="99"/>
    <w:pPr>
      <w:spacing w:line="240" w:lineRule="auto"/>
      <w:ind w:firstLine="0" w:firstLineChars="0"/>
      <w:jc w:val="left"/>
    </w:pPr>
    <w:rPr>
      <w:rFonts w:ascii="Calibri" w:hAnsi="Calibri" w:eastAsia="宋体" w:cs="黑体"/>
      <w:kern w:val="2"/>
      <w:sz w:val="21"/>
      <w:szCs w:val="21"/>
    </w:rPr>
  </w:style>
  <w:style w:type="paragraph" w:styleId="9">
    <w:name w:val="Balloon Text"/>
    <w:basedOn w:val="1"/>
    <w:link w:val="35"/>
    <w:unhideWhenUsed/>
    <w:qFormat/>
    <w:uiPriority w:val="0"/>
    <w:pPr>
      <w:spacing w:line="240" w:lineRule="auto"/>
    </w:pPr>
    <w:rPr>
      <w:sz w:val="18"/>
      <w:szCs w:val="18"/>
    </w:rPr>
  </w:style>
  <w:style w:type="paragraph" w:styleId="10">
    <w:name w:val="footer"/>
    <w:basedOn w:val="1"/>
    <w:link w:val="31"/>
    <w:unhideWhenUsed/>
    <w:qFormat/>
    <w:uiPriority w:val="99"/>
    <w:pPr>
      <w:tabs>
        <w:tab w:val="center" w:pos="4153"/>
        <w:tab w:val="right" w:pos="8306"/>
      </w:tabs>
      <w:snapToGrid w:val="0"/>
      <w:spacing w:line="240" w:lineRule="auto"/>
      <w:ind w:firstLine="0" w:firstLineChars="0"/>
      <w:jc w:val="left"/>
    </w:pPr>
    <w:rPr>
      <w:rFonts w:ascii="Calibri" w:hAnsi="Calibri" w:cs="黑体"/>
      <w:kern w:val="2"/>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Calibri" w:hAnsi="Calibri" w:cs="黑体"/>
      <w:kern w:val="2"/>
      <w:sz w:val="18"/>
      <w:szCs w:val="18"/>
    </w:rPr>
  </w:style>
  <w:style w:type="paragraph" w:styleId="12">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13">
    <w:name w:val="annotation subject"/>
    <w:basedOn w:val="8"/>
    <w:next w:val="8"/>
    <w:link w:val="37"/>
    <w:unhideWhenUsed/>
    <w:qFormat/>
    <w:uiPriority w:val="0"/>
    <w:pPr>
      <w:spacing w:line="360" w:lineRule="auto"/>
      <w:ind w:firstLine="200" w:firstLineChars="200"/>
    </w:pPr>
    <w:rPr>
      <w:rFonts w:ascii="Times New Roman" w:hAnsi="Times New Roman" w:eastAsia="宋体" w:cs="Times New Roman"/>
      <w:b/>
      <w:bCs/>
      <w:kern w:val="21"/>
      <w:sz w:val="24"/>
      <w:szCs w:val="22"/>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22"/>
    <w:rPr>
      <w:b/>
      <w:bCs/>
    </w:rPr>
  </w:style>
  <w:style w:type="character" w:styleId="18">
    <w:name w:val="page number"/>
    <w:basedOn w:val="16"/>
    <w:unhideWhenUsed/>
    <w:qFormat/>
    <w:uiPriority w:val="0"/>
  </w:style>
  <w:style w:type="character" w:styleId="19">
    <w:name w:val="FollowedHyperlink"/>
    <w:basedOn w:val="16"/>
    <w:unhideWhenUsed/>
    <w:qFormat/>
    <w:uiPriority w:val="0"/>
    <w:rPr>
      <w:color w:val="771CAA"/>
      <w:u w:val="none"/>
    </w:rPr>
  </w:style>
  <w:style w:type="character" w:styleId="20">
    <w:name w:val="Emphasis"/>
    <w:basedOn w:val="16"/>
    <w:qFormat/>
    <w:uiPriority w:val="20"/>
    <w:rPr>
      <w:i/>
      <w:iCs/>
    </w:rPr>
  </w:style>
  <w:style w:type="character" w:styleId="21">
    <w:name w:val="HTML Definition"/>
    <w:basedOn w:val="16"/>
    <w:semiHidden/>
    <w:unhideWhenUsed/>
    <w:qFormat/>
    <w:uiPriority w:val="0"/>
  </w:style>
  <w:style w:type="character" w:styleId="22">
    <w:name w:val="HTML Variable"/>
    <w:basedOn w:val="16"/>
    <w:semiHidden/>
    <w:unhideWhenUsed/>
    <w:qFormat/>
    <w:uiPriority w:val="0"/>
  </w:style>
  <w:style w:type="character" w:styleId="23">
    <w:name w:val="Hyperlink"/>
    <w:basedOn w:val="16"/>
    <w:semiHidden/>
    <w:unhideWhenUsed/>
    <w:qFormat/>
    <w:uiPriority w:val="0"/>
    <w:rPr>
      <w:color w:val="338DE6"/>
      <w:u w:val="none"/>
    </w:rPr>
  </w:style>
  <w:style w:type="character" w:styleId="24">
    <w:name w:val="HTML Code"/>
    <w:basedOn w:val="16"/>
    <w:semiHidden/>
    <w:unhideWhenUsed/>
    <w:qFormat/>
    <w:uiPriority w:val="0"/>
    <w:rPr>
      <w:rFonts w:ascii="serif" w:hAnsi="serif" w:eastAsia="serif" w:cs="serif"/>
      <w:sz w:val="21"/>
      <w:szCs w:val="21"/>
    </w:rPr>
  </w:style>
  <w:style w:type="character" w:styleId="25">
    <w:name w:val="annotation reference"/>
    <w:basedOn w:val="16"/>
    <w:unhideWhenUsed/>
    <w:qFormat/>
    <w:uiPriority w:val="99"/>
    <w:rPr>
      <w:sz w:val="21"/>
      <w:szCs w:val="21"/>
    </w:rPr>
  </w:style>
  <w:style w:type="character" w:styleId="26">
    <w:name w:val="HTML Cite"/>
    <w:basedOn w:val="16"/>
    <w:unhideWhenUsed/>
    <w:qFormat/>
    <w:uiPriority w:val="0"/>
    <w:rPr>
      <w:color w:val="008000"/>
    </w:rPr>
  </w:style>
  <w:style w:type="character" w:styleId="27">
    <w:name w:val="HTML Keyboard"/>
    <w:basedOn w:val="16"/>
    <w:semiHidden/>
    <w:unhideWhenUsed/>
    <w:qFormat/>
    <w:uiPriority w:val="0"/>
    <w:rPr>
      <w:rFonts w:hint="default" w:ascii="serif" w:hAnsi="serif" w:eastAsia="serif" w:cs="serif"/>
      <w:sz w:val="21"/>
      <w:szCs w:val="21"/>
    </w:rPr>
  </w:style>
  <w:style w:type="character" w:styleId="28">
    <w:name w:val="HTML Sample"/>
    <w:basedOn w:val="16"/>
    <w:semiHidden/>
    <w:unhideWhenUsed/>
    <w:qFormat/>
    <w:uiPriority w:val="0"/>
    <w:rPr>
      <w:rFonts w:hint="default" w:ascii="serif" w:hAnsi="serif" w:eastAsia="serif" w:cs="serif"/>
      <w:sz w:val="21"/>
      <w:szCs w:val="21"/>
    </w:rPr>
  </w:style>
  <w:style w:type="paragraph" w:customStyle="1" w:styleId="29">
    <w:name w:val="Char Char Char Char Char Char1 Char"/>
    <w:basedOn w:val="1"/>
    <w:qFormat/>
    <w:uiPriority w:val="0"/>
    <w:pPr>
      <w:widowControl/>
      <w:spacing w:after="160" w:line="240" w:lineRule="exact"/>
      <w:ind w:firstLine="0" w:firstLineChars="0"/>
      <w:jc w:val="left"/>
    </w:pPr>
    <w:rPr>
      <w:rFonts w:ascii="Calibri" w:hAnsi="Calibri"/>
      <w:kern w:val="2"/>
      <w:sz w:val="21"/>
    </w:rPr>
  </w:style>
  <w:style w:type="character" w:customStyle="1" w:styleId="30">
    <w:name w:val="页眉 字符"/>
    <w:link w:val="11"/>
    <w:qFormat/>
    <w:uiPriority w:val="99"/>
    <w:rPr>
      <w:sz w:val="18"/>
      <w:szCs w:val="18"/>
    </w:rPr>
  </w:style>
  <w:style w:type="character" w:customStyle="1" w:styleId="31">
    <w:name w:val="页脚 字符"/>
    <w:link w:val="10"/>
    <w:qFormat/>
    <w:uiPriority w:val="99"/>
    <w:rPr>
      <w:sz w:val="18"/>
      <w:szCs w:val="18"/>
    </w:rPr>
  </w:style>
  <w:style w:type="character" w:customStyle="1" w:styleId="32">
    <w:name w:val="标题 2 字符"/>
    <w:link w:val="5"/>
    <w:qFormat/>
    <w:uiPriority w:val="9"/>
    <w:rPr>
      <w:rFonts w:ascii="Times New Roman" w:hAnsi="Times New Roman" w:eastAsia="仿宋_GB2312" w:cs="Times New Roman"/>
      <w:b/>
      <w:kern w:val="21"/>
      <w:sz w:val="32"/>
      <w:szCs w:val="32"/>
    </w:rPr>
  </w:style>
  <w:style w:type="character" w:customStyle="1" w:styleId="33">
    <w:name w:val="title1"/>
    <w:qFormat/>
    <w:uiPriority w:val="0"/>
    <w:rPr>
      <w:rFonts w:hint="eastAsia" w:ascii="微软雅黑" w:hAnsi="微软雅黑" w:eastAsia="微软雅黑"/>
      <w:sz w:val="21"/>
      <w:szCs w:val="21"/>
    </w:rPr>
  </w:style>
  <w:style w:type="character" w:customStyle="1" w:styleId="34">
    <w:name w:val="批注文字 字符"/>
    <w:basedOn w:val="16"/>
    <w:link w:val="8"/>
    <w:qFormat/>
    <w:uiPriority w:val="99"/>
    <w:rPr>
      <w:rFonts w:ascii="Calibri" w:hAnsi="Calibri" w:eastAsia="宋体" w:cs="黑体"/>
      <w:kern w:val="2"/>
      <w:sz w:val="21"/>
      <w:szCs w:val="21"/>
    </w:rPr>
  </w:style>
  <w:style w:type="character" w:customStyle="1" w:styleId="35">
    <w:name w:val="批注框文本 字符"/>
    <w:basedOn w:val="16"/>
    <w:link w:val="9"/>
    <w:semiHidden/>
    <w:qFormat/>
    <w:uiPriority w:val="0"/>
    <w:rPr>
      <w:kern w:val="21"/>
      <w:sz w:val="18"/>
      <w:szCs w:val="18"/>
    </w:rPr>
  </w:style>
  <w:style w:type="character" w:customStyle="1" w:styleId="36">
    <w:name w:val="标题 3 字符"/>
    <w:basedOn w:val="16"/>
    <w:link w:val="6"/>
    <w:qFormat/>
    <w:uiPriority w:val="9"/>
    <w:rPr>
      <w:b/>
      <w:bCs/>
      <w:kern w:val="21"/>
      <w:sz w:val="32"/>
      <w:szCs w:val="32"/>
    </w:rPr>
  </w:style>
  <w:style w:type="character" w:customStyle="1" w:styleId="37">
    <w:name w:val="批注主题 字符"/>
    <w:basedOn w:val="34"/>
    <w:link w:val="13"/>
    <w:semiHidden/>
    <w:qFormat/>
    <w:uiPriority w:val="0"/>
    <w:rPr>
      <w:rFonts w:ascii="Calibri" w:hAnsi="Calibri" w:eastAsia="宋体" w:cs="黑体"/>
      <w:b/>
      <w:bCs/>
      <w:kern w:val="21"/>
      <w:sz w:val="24"/>
      <w:szCs w:val="22"/>
    </w:rPr>
  </w:style>
  <w:style w:type="character" w:customStyle="1" w:styleId="38">
    <w:name w:val="标题 1 字符"/>
    <w:basedOn w:val="16"/>
    <w:link w:val="4"/>
    <w:qFormat/>
    <w:uiPriority w:val="9"/>
    <w:rPr>
      <w:b/>
      <w:bCs/>
      <w:kern w:val="44"/>
      <w:sz w:val="44"/>
      <w:szCs w:val="44"/>
    </w:rPr>
  </w:style>
  <w:style w:type="character" w:customStyle="1" w:styleId="39">
    <w:name w:val="c-icon"/>
    <w:basedOn w:val="16"/>
    <w:qFormat/>
    <w:uiPriority w:val="0"/>
  </w:style>
  <w:style w:type="character" w:customStyle="1" w:styleId="40">
    <w:name w:val="hover27"/>
    <w:basedOn w:val="16"/>
    <w:qFormat/>
    <w:uiPriority w:val="0"/>
  </w:style>
  <w:style w:type="character" w:customStyle="1" w:styleId="41">
    <w:name w:val="hover28"/>
    <w:basedOn w:val="16"/>
    <w:qFormat/>
    <w:uiPriority w:val="0"/>
    <w:rPr>
      <w:color w:val="315EFB"/>
    </w:rPr>
  </w:style>
  <w:style w:type="character" w:customStyle="1" w:styleId="42">
    <w:name w:val="fontstrikethrough"/>
    <w:basedOn w:val="16"/>
    <w:qFormat/>
    <w:uiPriority w:val="0"/>
    <w:rPr>
      <w:strike/>
    </w:rPr>
  </w:style>
  <w:style w:type="character" w:customStyle="1" w:styleId="43">
    <w:name w:val="fontborder"/>
    <w:basedOn w:val="16"/>
    <w:qFormat/>
    <w:uiPriority w:val="0"/>
    <w:rPr>
      <w:bdr w:val="single" w:color="000000" w:sz="6" w:space="0"/>
    </w:rPr>
  </w:style>
  <w:style w:type="character" w:customStyle="1" w:styleId="44">
    <w:name w:val="sect2title1"/>
    <w:qFormat/>
    <w:uiPriority w:val="0"/>
    <w:rPr>
      <w:rFonts w:hint="eastAsia" w:ascii="微软雅黑" w:hAnsi="微软雅黑" w:eastAsia="微软雅黑"/>
      <w:b/>
      <w:bCs/>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12</Pages>
  <Words>6185</Words>
  <Characters>6280</Characters>
  <Lines>49</Lines>
  <Paragraphs>14</Paragraphs>
  <TotalTime>0</TotalTime>
  <ScaleCrop>false</ScaleCrop>
  <LinksUpToDate>false</LinksUpToDate>
  <CharactersWithSpaces>6292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2020-11-13T04:17:00Z</dcterms:created>
  <dc:creator>梁保仓</dc:creator>
  <cp:lastModifiedBy>刘嘉杰</cp:lastModifiedBy>
  <cp:lastPrinted>2021-11-05T02:45:00Z</cp:lastPrinted>
  <dcterms:modified xsi:type="dcterms:W3CDTF">2021-11-30T01:22:59Z</dcterms:modified>
  <dc:title>深圳市绿色建筑量质齐升三年行动实施方案（2018～2020年）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